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BFACC8D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E6166" w:rsidRPr="00DA2B39" w:rsidRDefault="006E6166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2330</w:t>
                                    </w:r>
                                  </w:p>
                                </w:sdtContent>
                              </w:sdt>
                              <w:p w:rsidR="006E6166" w:rsidRDefault="006E6166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6E6166" w:rsidRPr="00DA2B39" w:rsidRDefault="00100780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E6166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Actifs</w:t>
                                    </w:r>
                                  </w:sdtContent>
                                </w:sdt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6E6166" w:rsidRPr="00DA2B39" w:rsidRDefault="006E6166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6E6166" w:rsidRPr="00DA2B39" w:rsidRDefault="006E6166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2330</w:t>
                              </w:r>
                            </w:p>
                          </w:sdtContent>
                        </w:sdt>
                        <w:p w:rsidR="006E6166" w:rsidRDefault="006E6166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6E6166" w:rsidRPr="00DA2B39" w:rsidRDefault="00100780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6E6166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Actifs</w:t>
                              </w:r>
                            </w:sdtContent>
                          </w:sdt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6E6166" w:rsidRPr="00DA2B39" w:rsidRDefault="006E6166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213541" w:rsidRDefault="0010605B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9896557" w:history="1">
        <w:r w:rsidR="00213541" w:rsidRPr="0029537E">
          <w:rPr>
            <w:rStyle w:val="Lienhypertexte"/>
          </w:rPr>
          <w:t>Section 100.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38 – Immobilisations incorporelles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_Toc459896557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7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58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_Toc459896558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59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_Toc459896559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0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1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2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3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4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5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6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7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8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69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_Toc459896569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570" w:history="1">
        <w:r w:rsidR="00213541" w:rsidRPr="0029537E">
          <w:rPr>
            <w:rStyle w:val="Lienhypertexte"/>
          </w:rPr>
          <w:t>Section 110.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SIC 32 – Immobilisations incorporelles – Coûts liés aux sites Web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_Toc459896570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9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1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2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3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4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5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6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7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8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79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_Toc459896579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0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1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2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RESSOURSCES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583" w:history="1">
        <w:r w:rsidR="00213541" w:rsidRPr="0029537E">
          <w:rPr>
            <w:rStyle w:val="Lienhypertexte"/>
          </w:rPr>
          <w:t>Section 200.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16 – Immobilisations corporelles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_Toc459896583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10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4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5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6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7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8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89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_Toc459896589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0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1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2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3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4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5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596" w:history="1">
        <w:r w:rsidR="00213541" w:rsidRPr="0029537E">
          <w:rPr>
            <w:rStyle w:val="Lienhypertexte"/>
          </w:rPr>
          <w:t>Section 300.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40 – Immeubles de placement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_Toc459896596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13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7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8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599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_Toc459896599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0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1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2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3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4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5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6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7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08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_Toc459896608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09" w:history="1">
        <w:r w:rsidR="00213541" w:rsidRPr="0029537E">
          <w:rPr>
            <w:rStyle w:val="Lienhypertexte"/>
          </w:rPr>
          <w:t>Section 400.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36 – Dépréciation des actifs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_Toc459896609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14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0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1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2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3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4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5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6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7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8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19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_Toc459896619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0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1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22" w:history="1">
        <w:r w:rsidR="00213541" w:rsidRPr="0029537E">
          <w:rPr>
            <w:rStyle w:val="Lienhypertexte"/>
          </w:rPr>
          <w:t>Section 500.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IFRS 16 – Future norme sur les contrats de location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_Toc459896622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18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3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4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5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6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7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8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29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_Toc459896629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0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1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2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3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4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35" w:history="1">
        <w:r w:rsidR="00213541" w:rsidRPr="0029537E">
          <w:rPr>
            <w:rStyle w:val="Lienhypertexte"/>
          </w:rPr>
          <w:t>Section 510.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17 – Contrat de location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_Toc459896635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19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6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7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8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39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_Toc459896639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0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19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1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2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3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4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5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6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7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48" w:history="1">
        <w:r w:rsidR="00213541" w:rsidRPr="0029537E">
          <w:rPr>
            <w:rStyle w:val="Lienhypertexte"/>
          </w:rPr>
          <w:t>Section 520.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IFRIC 4 – Déterminer si un accord contient un contrat de location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_Toc459896648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20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49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_Toc459896649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0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1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2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3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4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5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6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7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8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59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_Toc459896659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0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61" w:history="1">
        <w:r w:rsidR="00213541" w:rsidRPr="0029537E">
          <w:rPr>
            <w:rStyle w:val="Lienhypertexte"/>
          </w:rPr>
          <w:t>Section 530.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SIC 15  – Avantages dans les contrats de location simple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_Toc459896661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22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2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3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4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5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6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7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8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69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_Toc459896669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0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1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2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3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74" w:history="1">
        <w:r w:rsidR="00213541" w:rsidRPr="0029537E">
          <w:rPr>
            <w:rStyle w:val="Lienhypertexte"/>
          </w:rPr>
          <w:t>Section 540.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SIC 27 – Évaluation de la substance des transactions prenant la forme juridique d'un contrat de location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_Toc459896674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23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5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6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7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8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79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_Toc459896679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0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1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2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3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4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5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6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687" w:history="1">
        <w:r w:rsidR="00213541" w:rsidRPr="0029537E">
          <w:rPr>
            <w:rStyle w:val="Lienhypertexte"/>
          </w:rPr>
          <w:t>Section 600.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2 – Stocks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_Toc459896687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24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8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89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_Toc459896689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0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1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2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3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4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5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6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7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8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699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_Toc459896699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700" w:history="1">
        <w:r w:rsidR="00213541" w:rsidRPr="0029537E">
          <w:rPr>
            <w:rStyle w:val="Lienhypertexte"/>
          </w:rPr>
          <w:t>Section 700.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IFRS 5 – Actifs immobilisés détenus en vue de la vente et abandons d’activités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_Toc459896700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26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1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2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26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3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4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5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6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7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8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09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_Toc459896709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27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0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1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2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713" w:history="1">
        <w:r w:rsidR="00213541" w:rsidRPr="0029537E">
          <w:rPr>
            <w:rStyle w:val="Lienhypertexte"/>
          </w:rPr>
          <w:t>Section 800.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23 – Coûts d’emprunts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_Toc459896713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28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4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5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28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6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7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8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19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_Toc459896719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0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1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2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3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29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4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5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726" w:history="1">
        <w:r w:rsidR="00213541" w:rsidRPr="0029537E">
          <w:rPr>
            <w:rStyle w:val="Lienhypertexte"/>
          </w:rPr>
          <w:t>Section 900.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IAS 20 – Subventions publiques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_Toc459896726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30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7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8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29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_Toc459896729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0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1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2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30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3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4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5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6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7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LA NORME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38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_Toc459896738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739" w:history="1">
        <w:r w:rsidR="00213541" w:rsidRPr="0029537E">
          <w:rPr>
            <w:rStyle w:val="Lienhypertexte"/>
          </w:rPr>
          <w:t>Section 910.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SIC 10  – Aide publique - Absence de relation spécifique avec des activités opérationnelles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_Toc459896739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31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0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1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2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3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31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4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5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6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7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8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49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_Toc459896749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0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1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752" w:history="1">
        <w:r w:rsidR="00213541" w:rsidRPr="0029537E">
          <w:rPr>
            <w:rStyle w:val="Lienhypertexte"/>
          </w:rPr>
          <w:t>Section 1000.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IFRIC 12 – Accords de concessions de services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_Toc459896752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32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3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4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5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6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32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7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8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59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_Toc459896759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0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1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2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33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3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4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96765" w:history="1">
        <w:r w:rsidR="00213541" w:rsidRPr="0029537E">
          <w:rPr>
            <w:rStyle w:val="Lienhypertexte"/>
          </w:rPr>
          <w:t>Section 1100.</w:t>
        </w:r>
        <w:r w:rsidR="00213541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213541" w:rsidRPr="0029537E">
          <w:rPr>
            <w:rStyle w:val="Lienhypertexte"/>
          </w:rPr>
          <w:t>IFRIC 17 – Distribution d’actifs non monétaires aux actionnaires</w:t>
        </w:r>
        <w:r w:rsidR="00213541">
          <w:rPr>
            <w:webHidden/>
          </w:rPr>
          <w:tab/>
        </w:r>
        <w:r w:rsidR="00213541">
          <w:rPr>
            <w:webHidden/>
          </w:rPr>
          <w:fldChar w:fldCharType="begin"/>
        </w:r>
        <w:r w:rsidR="00213541">
          <w:rPr>
            <w:webHidden/>
          </w:rPr>
          <w:instrText xml:space="preserve"> PAGEREF _Toc459896765 \h </w:instrText>
        </w:r>
        <w:r w:rsidR="00213541">
          <w:rPr>
            <w:webHidden/>
          </w:rPr>
        </w:r>
        <w:r w:rsidR="00213541">
          <w:rPr>
            <w:webHidden/>
          </w:rPr>
          <w:fldChar w:fldCharType="separate"/>
        </w:r>
        <w:r w:rsidR="00F561FE">
          <w:rPr>
            <w:webHidden/>
          </w:rPr>
          <w:t>34</w:t>
        </w:r>
        <w:r w:rsidR="00213541">
          <w:rPr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6" w:history="1">
        <w:r w:rsidR="00213541" w:rsidRPr="0029537E">
          <w:rPr>
            <w:rStyle w:val="Lienhypertexte"/>
            <w:noProof/>
          </w:rPr>
          <w:t>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7" w:history="1">
        <w:r w:rsidR="00213541" w:rsidRPr="0029537E">
          <w:rPr>
            <w:rStyle w:val="Lienhypertexte"/>
            <w:noProof/>
          </w:rPr>
          <w:t>1.1.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Historique au niveau de l’Union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8" w:history="1">
        <w:r w:rsidR="00213541" w:rsidRPr="0029537E">
          <w:rPr>
            <w:rStyle w:val="Lienhypertexte"/>
            <w:noProof/>
          </w:rPr>
          <w:t>1.2.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la Communauté européenne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_Toc459896768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69" w:history="1">
        <w:r w:rsidR="00213541" w:rsidRPr="0029537E">
          <w:rPr>
            <w:rStyle w:val="Lienhypertexte"/>
            <w:noProof/>
          </w:rPr>
          <w:t>1.3.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Textes en cours d’adoption par l’IASB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_Toc459896769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0" w:history="1">
        <w:r w:rsidR="00213541" w:rsidRPr="0029537E">
          <w:rPr>
            <w:rStyle w:val="Lienhypertexte"/>
            <w:noProof/>
          </w:rPr>
          <w:t>1.4.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Projets IASB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_Toc459896770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1" w:history="1">
        <w:r w:rsidR="00213541" w:rsidRPr="0029537E">
          <w:rPr>
            <w:rStyle w:val="Lienhypertexte"/>
            <w:noProof/>
          </w:rPr>
          <w:t>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NORMES ET INTERPRETATIONS LIEES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_Toc459896771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2" w:history="1">
        <w:r w:rsidR="00213541" w:rsidRPr="0029537E">
          <w:rPr>
            <w:rStyle w:val="Lienhypertexte"/>
            <w:noProof/>
          </w:rPr>
          <w:t>3.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REJETS IFRIC LIES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_Toc459896772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3" w:history="1">
        <w:r w:rsidR="00213541" w:rsidRPr="0029537E">
          <w:rPr>
            <w:rStyle w:val="Lienhypertexte"/>
            <w:noProof/>
          </w:rPr>
          <w:t>4.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 ET DECISIONS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_Toc459896773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4" w:history="1">
        <w:r w:rsidR="00213541" w:rsidRPr="0029537E">
          <w:rPr>
            <w:rStyle w:val="Lienhypertexte"/>
            <w:noProof/>
          </w:rPr>
          <w:t>4.1.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Recommandations AMF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_Toc459896774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34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5" w:history="1">
        <w:r w:rsidR="00213541" w:rsidRPr="0029537E">
          <w:rPr>
            <w:rStyle w:val="Lienhypertexte"/>
            <w:noProof/>
          </w:rPr>
          <w:t>4.2.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Décisions ESMA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_Toc459896775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6" w:history="1">
        <w:r w:rsidR="00213541" w:rsidRPr="0029537E">
          <w:rPr>
            <w:rStyle w:val="Lienhypertexte"/>
            <w:noProof/>
          </w:rPr>
          <w:t>5.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RAPPELS SUR L’INTERPRETATION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_Toc459896776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35</w:t>
        </w:r>
        <w:r w:rsidR="00213541">
          <w:rPr>
            <w:noProof/>
            <w:webHidden/>
          </w:rPr>
          <w:fldChar w:fldCharType="end"/>
        </w:r>
      </w:hyperlink>
    </w:p>
    <w:p w:rsidR="00213541" w:rsidRDefault="00100780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96777" w:history="1">
        <w:r w:rsidR="00213541" w:rsidRPr="0029537E">
          <w:rPr>
            <w:rStyle w:val="Lienhypertexte"/>
            <w:noProof/>
          </w:rPr>
          <w:t>6.</w:t>
        </w:r>
        <w:r w:rsidR="00213541">
          <w:rPr>
            <w:rFonts w:asciiTheme="minorHAnsi" w:eastAsiaTheme="minorEastAsia" w:hAnsiTheme="minorHAnsi"/>
            <w:noProof/>
            <w:lang w:eastAsia="fr-FR"/>
          </w:rPr>
          <w:tab/>
        </w:r>
        <w:r w:rsidR="00213541" w:rsidRPr="0029537E">
          <w:rPr>
            <w:rStyle w:val="Lienhypertexte"/>
            <w:noProof/>
          </w:rPr>
          <w:t>RESSOURCES MISES A DISPOSITION</w:t>
        </w:r>
        <w:r w:rsidR="00213541">
          <w:rPr>
            <w:noProof/>
            <w:webHidden/>
          </w:rPr>
          <w:tab/>
        </w:r>
        <w:r w:rsidR="00213541">
          <w:rPr>
            <w:noProof/>
            <w:webHidden/>
          </w:rPr>
          <w:fldChar w:fldCharType="begin"/>
        </w:r>
        <w:r w:rsidR="00213541">
          <w:rPr>
            <w:noProof/>
            <w:webHidden/>
          </w:rPr>
          <w:instrText xml:space="preserve"> PAGEREF _Toc459896777 \h </w:instrText>
        </w:r>
        <w:r w:rsidR="00213541">
          <w:rPr>
            <w:noProof/>
            <w:webHidden/>
          </w:rPr>
        </w:r>
        <w:r w:rsidR="00213541">
          <w:rPr>
            <w:noProof/>
            <w:webHidden/>
          </w:rPr>
          <w:fldChar w:fldCharType="separate"/>
        </w:r>
        <w:r w:rsidR="00F561FE">
          <w:rPr>
            <w:noProof/>
            <w:webHidden/>
          </w:rPr>
          <w:t>35</w:t>
        </w:r>
        <w:r w:rsidR="00213541">
          <w:rPr>
            <w:noProof/>
            <w:webHidden/>
          </w:rPr>
          <w:fldChar w:fldCharType="end"/>
        </w:r>
      </w:hyperlink>
    </w:p>
    <w:p w:rsidR="0010605B" w:rsidRDefault="0010605B" w:rsidP="0010605B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10605B" w:rsidRDefault="0010605B" w:rsidP="0010605B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10605B" w:rsidRDefault="0010605B" w:rsidP="0010605B"/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bookmarkStart w:id="0" w:name="_Toc448324666"/>
      <w:bookmarkStart w:id="1" w:name="_Toc459896557"/>
      <w:r>
        <w:t>IAS 38 – Immobilisations incorporelles</w:t>
      </w:r>
      <w:bookmarkEnd w:id="0"/>
      <w:bookmarkEnd w:id="1"/>
    </w:p>
    <w:p w:rsidR="0010605B" w:rsidRPr="00DD09B7" w:rsidRDefault="0010605B" w:rsidP="0010605B"/>
    <w:p w:rsidR="0010605B" w:rsidRDefault="0010605B" w:rsidP="0010605B">
      <w:pPr>
        <w:pStyle w:val="CACTitre2"/>
      </w:pPr>
      <w:bookmarkStart w:id="2" w:name="_Toc459896558"/>
      <w:r>
        <w:t>HISTORIQUE</w:t>
      </w:r>
      <w:bookmarkEnd w:id="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3" w:name="_Toc448324668"/>
      <w:bookmarkStart w:id="4" w:name="_Toc459896559"/>
      <w:r>
        <w:t>Historique au niveau de l’Union européenne</w:t>
      </w:r>
      <w:bookmarkEnd w:id="3"/>
      <w:bookmarkEnd w:id="4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2095"/>
        <w:gridCol w:w="1167"/>
        <w:gridCol w:w="1118"/>
        <w:gridCol w:w="1158"/>
        <w:gridCol w:w="1109"/>
        <w:gridCol w:w="1094"/>
      </w:tblGrid>
      <w:tr w:rsidR="0010605B" w:rsidRPr="009A5D9E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01/09/1998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8, IAS 16, IAS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Publicité et activités promotionnelles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Amortissement par le mode des unités de production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complémentairs résultant de la révision d'IFRS 3. Evaluation de la juste valeur d'une immobilisation incorporelle acquise lors d'un regroupement d'entreprises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2010-2012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Modalités d’application de la méthode de la réévaluation -ajustement proportionnel de l’amortissement cumulé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5" w:name="_Toc448324669"/>
      <w:bookmarkStart w:id="6" w:name="_Toc459896560"/>
      <w:r>
        <w:t>Textes en cours d’adoption par la Communauté européenne</w:t>
      </w:r>
      <w:bookmarkEnd w:id="5"/>
      <w:bookmarkEnd w:id="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7" w:name="_Toc448324670"/>
      <w:bookmarkStart w:id="8" w:name="_Toc459896561"/>
      <w:r>
        <w:t>Textes en cours d’adoption par l’IASB</w:t>
      </w:r>
      <w:bookmarkEnd w:id="7"/>
      <w:bookmarkEnd w:id="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9" w:name="_Toc448324671"/>
      <w:bookmarkStart w:id="10" w:name="_Toc459896562"/>
      <w:r>
        <w:t>Projets IASB</w:t>
      </w:r>
      <w:bookmarkEnd w:id="9"/>
      <w:bookmarkEnd w:id="1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1" w:name="_Toc448324672"/>
      <w:bookmarkStart w:id="12" w:name="_Toc459896563"/>
      <w:r>
        <w:t>NORMES ET INTERPRETATIONS LIEES</w:t>
      </w:r>
      <w:bookmarkEnd w:id="11"/>
      <w:bookmarkEnd w:id="12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4"/>
        </w:numPr>
      </w:pPr>
      <w:r>
        <w:t xml:space="preserve">IAS 36 – </w:t>
      </w:r>
      <w:r w:rsidRPr="008B67F8">
        <w:rPr>
          <w:i/>
        </w:rPr>
        <w:t>Dépréciation d’actifs</w:t>
      </w:r>
    </w:p>
    <w:p w:rsidR="0010605B" w:rsidRDefault="0010605B" w:rsidP="002C736C">
      <w:pPr>
        <w:pStyle w:val="CACCorps"/>
        <w:numPr>
          <w:ilvl w:val="0"/>
          <w:numId w:val="4"/>
        </w:numPr>
      </w:pPr>
      <w:r>
        <w:t xml:space="preserve">IFRIC 12 </w:t>
      </w:r>
      <w:r w:rsidRPr="00A858F6">
        <w:rPr>
          <w:i/>
        </w:rPr>
        <w:t>Accords de concession de services</w:t>
      </w:r>
    </w:p>
    <w:p w:rsidR="0010605B" w:rsidRDefault="0010605B" w:rsidP="002C736C">
      <w:pPr>
        <w:pStyle w:val="CACCorps"/>
        <w:numPr>
          <w:ilvl w:val="0"/>
          <w:numId w:val="4"/>
        </w:numPr>
      </w:pPr>
      <w:r>
        <w:t xml:space="preserve">IFRIC 20 </w:t>
      </w:r>
      <w:r w:rsidRPr="00A858F6">
        <w:rPr>
          <w:i/>
        </w:rPr>
        <w:t>Frais de découverte engagés pendant la phase de production d’une mine à ciel ouvert</w:t>
      </w:r>
    </w:p>
    <w:p w:rsidR="0010605B" w:rsidRDefault="0010605B" w:rsidP="002C736C">
      <w:pPr>
        <w:pStyle w:val="CACCorps"/>
        <w:numPr>
          <w:ilvl w:val="0"/>
          <w:numId w:val="4"/>
        </w:numPr>
      </w:pPr>
      <w:r>
        <w:t xml:space="preserve">SIC 32 – </w:t>
      </w:r>
      <w:r w:rsidRPr="008B67F8">
        <w:rPr>
          <w:i/>
        </w:rPr>
        <w:t>Immobilisations incorporelles</w:t>
      </w:r>
      <w:r>
        <w:t xml:space="preserve"> – </w:t>
      </w:r>
      <w:r w:rsidRPr="00A858F6">
        <w:rPr>
          <w:i/>
        </w:rPr>
        <w:t>Coûts liés aux sites web</w:t>
      </w:r>
    </w:p>
    <w:p w:rsidR="0010605B" w:rsidRDefault="0010605B" w:rsidP="002C736C">
      <w:pPr>
        <w:pStyle w:val="CACCorps"/>
        <w:numPr>
          <w:ilvl w:val="0"/>
          <w:numId w:val="4"/>
        </w:numPr>
      </w:pPr>
      <w:r>
        <w:t xml:space="preserve">SIC 6 – </w:t>
      </w:r>
      <w:r w:rsidRPr="00A858F6">
        <w:rPr>
          <w:i/>
        </w:rPr>
        <w:t>Coûts de modification de logiciels existants. Cette interprétation a été abrogée par la révision d’IAS 16</w:t>
      </w:r>
    </w:p>
    <w:p w:rsidR="0010605B" w:rsidRP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3" w:name="_Toc448324673"/>
      <w:bookmarkStart w:id="14" w:name="_Toc459896564"/>
      <w:r>
        <w:t>REJETS</w:t>
      </w:r>
      <w:r w:rsidR="0010605B">
        <w:t xml:space="preserve"> IFRIC </w:t>
      </w:r>
      <w:bookmarkEnd w:id="13"/>
      <w:r>
        <w:t>LIES</w:t>
      </w:r>
      <w:bookmarkEnd w:id="1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5" w:name="_Toc448324674"/>
      <w:bookmarkStart w:id="16" w:name="_Toc459896565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5"/>
      <w:bookmarkEnd w:id="1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7" w:name="_Toc459896566"/>
      <w:r>
        <w:t>Recommandations AMF</w:t>
      </w:r>
      <w:bookmarkEnd w:id="1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8" w:name="_Toc459896567"/>
      <w:r>
        <w:t>Décisions ESMA</w:t>
      </w:r>
      <w:bookmarkEnd w:id="18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064"/>
        <w:gridCol w:w="1301"/>
        <w:gridCol w:w="1585"/>
        <w:gridCol w:w="1446"/>
      </w:tblGrid>
      <w:tr w:rsidR="0010605B" w:rsidRPr="001445D7" w:rsidTr="0010605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1445D7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Amostissement des immobilisations incorporelles une durée de vie définie inclues dans le goodwill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EECS/1207-01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Méthode d'amortissement des 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EECS/1207-08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immobilisations incorporelles générées en interne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EECS/0508-10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allocation des coûts d'une acquisition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EECS/0508-011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Comptabilisation des 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EECS/1208-06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Durée de vie indéfinie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EECS/1208-07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EECS/0610-06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01/07/2007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EECS/0910-04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Informations à fournir sur les 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EECS/0111-08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Capitalisation des 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EECS/0112-01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Immobilisations incorporelles à une durée de vie indéfinie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EECS/0113-02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Identification des immobilisations incorporelles dans un regroupement d'entreprises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EECS/0213-08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1445D7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Niveau d’agrégation de l’information relative aux coûts capitalisés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EECS/0214-10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445D7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1445D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9" w:name="_Toc448324675"/>
      <w:bookmarkStart w:id="20" w:name="_Toc459896568"/>
      <w:r>
        <w:t>RAPPELS SUR LA NORME</w:t>
      </w:r>
      <w:bookmarkEnd w:id="19"/>
      <w:bookmarkEnd w:id="2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1" w:name="_Toc459896569"/>
      <w:r>
        <w:t>RESSOURCES MISES A DISPOSITION</w:t>
      </w:r>
      <w:bookmarkEnd w:id="21"/>
    </w:p>
    <w:p w:rsidR="0010605B" w:rsidRDefault="0010605B" w:rsidP="0010605B">
      <w:pPr>
        <w:pStyle w:val="CACCorps"/>
      </w:pPr>
    </w:p>
    <w:p w:rsidR="00A00BD3" w:rsidRDefault="00100780" w:rsidP="00670F63">
      <w:pPr>
        <w:pStyle w:val="CACCorps"/>
        <w:numPr>
          <w:ilvl w:val="0"/>
          <w:numId w:val="39"/>
        </w:numPr>
      </w:pPr>
      <w:hyperlink r:id="rId11" w:history="1">
        <w:r w:rsidR="00A00BD3" w:rsidRPr="00A00BD3">
          <w:rPr>
            <w:rStyle w:val="Lienhypertexte"/>
          </w:rPr>
          <w:t>QFB10.X001</w:t>
        </w:r>
      </w:hyperlink>
      <w:r w:rsidR="00670F63">
        <w:t xml:space="preserve"> - Programme de contrôle IFRS – Immobilisations incorporelles (IAS 38)</w:t>
      </w:r>
    </w:p>
    <w:p w:rsidR="00670F63" w:rsidRDefault="00670F63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r>
        <w:t xml:space="preserve"> </w:t>
      </w:r>
      <w:bookmarkStart w:id="22" w:name="_Toc459896570"/>
      <w:r>
        <w:t>SIC 32 – Immobilisations incorporelles – Coûts liés aux sites Web</w:t>
      </w:r>
      <w:bookmarkEnd w:id="22"/>
    </w:p>
    <w:p w:rsidR="0010605B" w:rsidRPr="00DD09B7" w:rsidRDefault="0010605B" w:rsidP="0010605B"/>
    <w:p w:rsidR="0010605B" w:rsidRDefault="00AB3731" w:rsidP="002C736C">
      <w:pPr>
        <w:pStyle w:val="CACTitre2"/>
        <w:numPr>
          <w:ilvl w:val="1"/>
          <w:numId w:val="7"/>
        </w:numPr>
      </w:pPr>
      <w:bookmarkStart w:id="23" w:name="_Toc459896571"/>
      <w:r>
        <w:t>HISTORIQUE</w:t>
      </w:r>
      <w:bookmarkEnd w:id="2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4" w:name="_Toc459896572"/>
      <w:r>
        <w:t>Historique au niveau de l’Union européenne</w:t>
      </w:r>
      <w:bookmarkEnd w:id="24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689"/>
        <w:gridCol w:w="1224"/>
        <w:gridCol w:w="1233"/>
        <w:gridCol w:w="1205"/>
        <w:gridCol w:w="1214"/>
        <w:gridCol w:w="1157"/>
      </w:tblGrid>
      <w:tr w:rsidR="0010605B" w:rsidRPr="00DA204C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DA204C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Immobilisations incorporelles - Coûts liés aux sites web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25/03/2002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25/03/2002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A204C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A204C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A204C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5" w:name="_Toc459896573"/>
      <w:r>
        <w:t>Textes en cours d’adoption par la Communauté européenne</w:t>
      </w:r>
      <w:bookmarkEnd w:id="2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6" w:name="_Toc459896574"/>
      <w:r>
        <w:t>Textes en cours d’adoption par l’IASB</w:t>
      </w:r>
      <w:bookmarkEnd w:id="2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27" w:name="_Toc459896575"/>
      <w:r>
        <w:t>Projets IASB</w:t>
      </w:r>
      <w:bookmarkEnd w:id="2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28" w:name="_Toc459896576"/>
      <w:r>
        <w:t>NORMES ET INTERPRETATIONS LIEES</w:t>
      </w:r>
      <w:bookmarkEnd w:id="28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5"/>
        </w:numPr>
      </w:pPr>
      <w:r>
        <w:t xml:space="preserve">IAS 38 – </w:t>
      </w:r>
      <w:r w:rsidRPr="001445D7">
        <w:rPr>
          <w:i/>
        </w:rPr>
        <w:t>Immobilisations incorporelles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29" w:name="_Toc459896577"/>
      <w:r>
        <w:t>REJETS IFRIC LIES</w:t>
      </w:r>
      <w:bookmarkEnd w:id="2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30" w:name="_Toc459896578"/>
      <w:r>
        <w:t>RECOMMANDATIONS AMF ET DECISIONS ESMA</w:t>
      </w:r>
      <w:bookmarkEnd w:id="3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31" w:name="_Toc459896579"/>
      <w:r>
        <w:t>Recommandations AMF</w:t>
      </w:r>
      <w:bookmarkEnd w:id="3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32" w:name="_Toc459896580"/>
      <w:r>
        <w:t>Décisions ESMA</w:t>
      </w:r>
      <w:bookmarkEnd w:id="3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33" w:name="_Toc459896581"/>
      <w:r>
        <w:t>RAPPELS SUR L’INTERPRETATION</w:t>
      </w:r>
      <w:bookmarkEnd w:id="33"/>
    </w:p>
    <w:p w:rsidR="0010605B" w:rsidRDefault="0010605B" w:rsidP="0010605B">
      <w:pPr>
        <w:pStyle w:val="CACCorps"/>
      </w:pPr>
    </w:p>
    <w:p w:rsidR="00670F63" w:rsidRDefault="00670F63" w:rsidP="0010605B">
      <w:pPr>
        <w:pStyle w:val="CACCorps"/>
      </w:pPr>
    </w:p>
    <w:p w:rsidR="0010605B" w:rsidRDefault="0010605B" w:rsidP="0010605B">
      <w:pPr>
        <w:pStyle w:val="CACTitre2"/>
      </w:pPr>
      <w:bookmarkStart w:id="34" w:name="_Toc459896582"/>
      <w:r>
        <w:t>RESSOURSCES MISES A DISPOSITION</w:t>
      </w:r>
      <w:bookmarkEnd w:id="34"/>
    </w:p>
    <w:p w:rsidR="0010605B" w:rsidRDefault="0010605B" w:rsidP="0010605B"/>
    <w:p w:rsidR="0010605B" w:rsidRDefault="0010605B" w:rsidP="0010605B"/>
    <w:p w:rsidR="0010605B" w:rsidRDefault="0010605B" w:rsidP="002C736C">
      <w:pPr>
        <w:pStyle w:val="CACTitre1"/>
        <w:numPr>
          <w:ilvl w:val="0"/>
          <w:numId w:val="8"/>
        </w:numPr>
        <w:contextualSpacing w:val="0"/>
      </w:pPr>
      <w:bookmarkStart w:id="35" w:name="_Toc459896583"/>
      <w:r>
        <w:t>IAS 16 – Immobilisations corporelles</w:t>
      </w:r>
      <w:bookmarkEnd w:id="35"/>
    </w:p>
    <w:p w:rsidR="0010605B" w:rsidRPr="00DD09B7" w:rsidRDefault="0010605B" w:rsidP="0010605B"/>
    <w:p w:rsidR="0010605B" w:rsidRDefault="0010605B" w:rsidP="002C736C">
      <w:pPr>
        <w:pStyle w:val="CACTitre2"/>
        <w:numPr>
          <w:ilvl w:val="1"/>
          <w:numId w:val="9"/>
        </w:numPr>
      </w:pPr>
      <w:bookmarkStart w:id="36" w:name="_Toc459896584"/>
      <w:r>
        <w:t>HISTORIQUE</w:t>
      </w:r>
      <w:bookmarkEnd w:id="3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37" w:name="_Toc459896585"/>
      <w:r>
        <w:t>Historique au niveau de l’Union européenne</w:t>
      </w:r>
      <w:bookmarkEnd w:id="37"/>
    </w:p>
    <w:p w:rsidR="0010605B" w:rsidRDefault="0010605B" w:rsidP="0010605B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022"/>
        <w:gridCol w:w="1189"/>
        <w:gridCol w:w="1161"/>
        <w:gridCol w:w="1176"/>
        <w:gridCol w:w="1149"/>
        <w:gridCol w:w="1118"/>
      </w:tblGrid>
      <w:tr w:rsidR="0010605B" w:rsidRPr="009A5D9E" w:rsidTr="0010605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Immobilisations 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Immobilisations 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07/02/2005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Amendements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 de la définition du montant recouvrable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Cession d'actifs détenus en vue de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Construction en cours ou en développement pour une future utilisation comme immeuble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2009-2011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Clarification sur la classification du matériel</w:t>
            </w: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d’entretien (« servicing equipment 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17/05/2012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27/03/2013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2010-2012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Modalités d’application de la méthode de la réévaluation -ajustement proportionnel de l’amortissement cumulé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Plantes productrices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23/11/2015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9A5D9E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9A5D9E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Clarification sur les méthodes autorisées de dépréciation et d'amortissement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02/12/2015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9A5D9E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A5D9E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38" w:name="_Toc459896586"/>
      <w:r>
        <w:t>Textes en cours d’adoption par la Communauté européenne</w:t>
      </w:r>
      <w:bookmarkEnd w:id="3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39" w:name="_Toc459896587"/>
      <w:r>
        <w:t>Textes en cours d’adoption par l’IASB</w:t>
      </w:r>
      <w:bookmarkEnd w:id="3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40" w:name="_Toc459896588"/>
      <w:r>
        <w:t>Projets IASB</w:t>
      </w:r>
      <w:bookmarkEnd w:id="4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41" w:name="_Toc459896589"/>
      <w:r>
        <w:t>NORMES ET INTERPRETATIONS LIEES</w:t>
      </w:r>
      <w:bookmarkEnd w:id="41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5"/>
        </w:numPr>
      </w:pPr>
      <w:r>
        <w:t>IAS 36 – Dépréciation d’actifs</w:t>
      </w:r>
    </w:p>
    <w:p w:rsidR="0010605B" w:rsidRDefault="0010605B" w:rsidP="002C736C">
      <w:pPr>
        <w:pStyle w:val="CACCorps"/>
        <w:numPr>
          <w:ilvl w:val="0"/>
          <w:numId w:val="5"/>
        </w:numPr>
      </w:pPr>
      <w:r>
        <w:t xml:space="preserve">IFRIC 12 </w:t>
      </w:r>
      <w:r w:rsidRPr="00A858F6">
        <w:rPr>
          <w:i/>
        </w:rPr>
        <w:t>Accords de concession de services</w:t>
      </w:r>
    </w:p>
    <w:p w:rsidR="0010605B" w:rsidRDefault="0010605B" w:rsidP="002C736C">
      <w:pPr>
        <w:pStyle w:val="CACCorps"/>
        <w:numPr>
          <w:ilvl w:val="0"/>
          <w:numId w:val="5"/>
        </w:numPr>
      </w:pPr>
      <w:r>
        <w:t xml:space="preserve">IFRIC 20 </w:t>
      </w:r>
      <w:r w:rsidRPr="00A858F6">
        <w:rPr>
          <w:i/>
        </w:rPr>
        <w:t>Frais de découverte engagés pendant la phase de production d’une mine à ciel ouvert</w:t>
      </w:r>
    </w:p>
    <w:p w:rsidR="0010605B" w:rsidRPr="002F01B5" w:rsidRDefault="0010605B" w:rsidP="002C736C">
      <w:pPr>
        <w:pStyle w:val="CACCorps"/>
        <w:numPr>
          <w:ilvl w:val="0"/>
          <w:numId w:val="5"/>
        </w:numPr>
      </w:pPr>
      <w:r>
        <w:t xml:space="preserve">SIC 6 – </w:t>
      </w:r>
      <w:r w:rsidRPr="00A858F6">
        <w:rPr>
          <w:i/>
        </w:rPr>
        <w:t xml:space="preserve">Coûts de modification de logiciels existants. </w:t>
      </w:r>
      <w:r w:rsidRPr="002F01B5">
        <w:t>Cette interprétation a été abrogée par la révision d’IAS 16</w:t>
      </w:r>
    </w:p>
    <w:p w:rsidR="0010605B" w:rsidRPr="002F01B5" w:rsidRDefault="0010605B" w:rsidP="002C736C">
      <w:pPr>
        <w:pStyle w:val="CACCorps"/>
        <w:numPr>
          <w:ilvl w:val="0"/>
          <w:numId w:val="5"/>
        </w:numPr>
      </w:pPr>
      <w:r>
        <w:t>SIC 14 –</w:t>
      </w:r>
      <w:r w:rsidRPr="002F01B5">
        <w:rPr>
          <w:i/>
        </w:rPr>
        <w:t xml:space="preserve"> Immobilisations corporelles - Indemnisation liée à la dépréciation ou à la perte de biens</w:t>
      </w:r>
      <w:r>
        <w:rPr>
          <w:i/>
        </w:rPr>
        <w:t xml:space="preserve">. </w:t>
      </w:r>
      <w:r w:rsidRPr="002F01B5">
        <w:t>Cette interprétation a été abrogée par la révision d’IAS 16</w:t>
      </w:r>
    </w:p>
    <w:p w:rsidR="0010605B" w:rsidRDefault="0010605B" w:rsidP="002C736C">
      <w:pPr>
        <w:pStyle w:val="CACCorps"/>
        <w:numPr>
          <w:ilvl w:val="0"/>
          <w:numId w:val="5"/>
        </w:numPr>
      </w:pPr>
      <w:r>
        <w:t xml:space="preserve">SIC 23 – </w:t>
      </w:r>
      <w:r w:rsidRPr="002F01B5">
        <w:rPr>
          <w:i/>
        </w:rPr>
        <w:t>Immobilisations corporelles - Coûts des inspections ou des révisions majeures</w:t>
      </w:r>
      <w:r>
        <w:rPr>
          <w:i/>
        </w:rPr>
        <w:t>.</w:t>
      </w:r>
      <w:r w:rsidRPr="002F01B5">
        <w:t xml:space="preserve"> Cette interprétation a été abrogée par la révision d’IAS 16</w:t>
      </w:r>
      <w:r>
        <w:t>.</w:t>
      </w:r>
    </w:p>
    <w:p w:rsidR="0010605B" w:rsidRP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42" w:name="_Toc459896590"/>
      <w:r>
        <w:t>REJETS IFRIC LIES</w:t>
      </w:r>
      <w:bookmarkEnd w:id="42"/>
    </w:p>
    <w:p w:rsidR="0010605B" w:rsidRDefault="0010605B" w:rsidP="0010605B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10605B" w:rsidRPr="002F01B5" w:rsidTr="0010605B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10605B" w:rsidRPr="002F01B5" w:rsidTr="0010605B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Paiements variable pour les achats d'actifs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22/03/2016</w:t>
            </w:r>
          </w:p>
        </w:tc>
      </w:tr>
      <w:tr w:rsidR="0010605B" w:rsidRPr="002F01B5" w:rsidTr="0010605B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 xml:space="preserve">Informations à fournir sur les valeurs comptables sous le modèle du coût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14/02/2014</w:t>
            </w:r>
          </w:p>
        </w:tc>
      </w:tr>
      <w:tr w:rsidR="0010605B" w:rsidRPr="002F01B5" w:rsidTr="0010605B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Comptabilisation des stocks de base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lang w:eastAsia="fr-FR"/>
              </w:rPr>
              <w:t>11/11/2014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43" w:name="_Toc459896591"/>
      <w:r>
        <w:t>RECOMMANDATIONS AMF ET DECISIONS ESMA</w:t>
      </w:r>
      <w:bookmarkEnd w:id="4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44" w:name="_Toc459896592"/>
      <w:r>
        <w:t>Recommandations AMF</w:t>
      </w:r>
      <w:bookmarkEnd w:id="4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45" w:name="_Toc459896593"/>
      <w:r>
        <w:t>Décisions ESMA</w:t>
      </w:r>
      <w:bookmarkEnd w:id="45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443"/>
        <w:gridCol w:w="1225"/>
        <w:gridCol w:w="1408"/>
        <w:gridCol w:w="1320"/>
      </w:tblGrid>
      <w:tr w:rsidR="0010605B" w:rsidRPr="002F01B5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2F01B5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Valeur résiduelle d'un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2F01B5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Classement, au sein du tableau des flux de trésorerie, des flux d’achat, de location et de vente dans une activité de location opérationnelle de véhicules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2F01B5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effets de l’application d’un régime fiscal spécifique à des actifs nouvellement acquis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2F01B5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2F01B5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46" w:name="_Toc459896594"/>
      <w:r>
        <w:t>RAPPELS SUR LA NORME</w:t>
      </w:r>
      <w:bookmarkEnd w:id="4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47" w:name="_Toc459896595"/>
      <w:r>
        <w:t>RESSOURCES MISES A DISPOSITION</w:t>
      </w:r>
      <w:bookmarkEnd w:id="47"/>
    </w:p>
    <w:p w:rsidR="0010605B" w:rsidRDefault="0010605B" w:rsidP="0010605B">
      <w:pPr>
        <w:pStyle w:val="CACCorps"/>
      </w:pPr>
    </w:p>
    <w:p w:rsidR="00670F63" w:rsidRDefault="00100780" w:rsidP="00670F63">
      <w:pPr>
        <w:pStyle w:val="CACCorps"/>
        <w:numPr>
          <w:ilvl w:val="0"/>
          <w:numId w:val="38"/>
        </w:numPr>
      </w:pPr>
      <w:hyperlink r:id="rId12" w:history="1">
        <w:r w:rsidR="00670F63" w:rsidRPr="00A00BD3">
          <w:rPr>
            <w:rStyle w:val="Lienhypertexte"/>
          </w:rPr>
          <w:t>QFB15.X001</w:t>
        </w:r>
      </w:hyperlink>
      <w:r w:rsidR="00670F63">
        <w:t xml:space="preserve"> - Programme de contrôle IFRS – Immobilisations corporelles (IAS 16, IAS 17, IAS 40)</w:t>
      </w:r>
    </w:p>
    <w:p w:rsidR="00670F63" w:rsidRDefault="00670F63" w:rsidP="0010605B">
      <w:pPr>
        <w:pStyle w:val="CACCorps"/>
      </w:pPr>
    </w:p>
    <w:p w:rsidR="00670F63" w:rsidRDefault="00670F63" w:rsidP="0010605B">
      <w:pPr>
        <w:pStyle w:val="CACCorps"/>
      </w:pPr>
    </w:p>
    <w:p w:rsidR="0010605B" w:rsidRDefault="0010605B">
      <w:pPr>
        <w:jc w:val="left"/>
      </w:pPr>
      <w:r>
        <w:br w:type="page"/>
      </w:r>
    </w:p>
    <w:p w:rsidR="0010605B" w:rsidRPr="002F01B5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10"/>
        </w:numPr>
        <w:contextualSpacing w:val="0"/>
      </w:pPr>
      <w:bookmarkStart w:id="48" w:name="_Toc459896596"/>
      <w:r>
        <w:t>IAS 40 – Immeubles de placement</w:t>
      </w:r>
      <w:bookmarkEnd w:id="48"/>
    </w:p>
    <w:p w:rsidR="0010605B" w:rsidRPr="00DD09B7" w:rsidRDefault="0010605B" w:rsidP="0010605B"/>
    <w:p w:rsidR="0010605B" w:rsidRDefault="0010605B" w:rsidP="002C736C">
      <w:pPr>
        <w:pStyle w:val="CACTitre2"/>
        <w:numPr>
          <w:ilvl w:val="1"/>
          <w:numId w:val="11"/>
        </w:numPr>
      </w:pPr>
      <w:bookmarkStart w:id="49" w:name="_Toc459896597"/>
      <w:r>
        <w:t>HISTORIQUE</w:t>
      </w:r>
      <w:bookmarkEnd w:id="4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50" w:name="_Toc459896598"/>
      <w:r>
        <w:t>Historique au niveau de l’Union européenne</w:t>
      </w:r>
      <w:bookmarkEnd w:id="50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2"/>
        <w:gridCol w:w="2177"/>
        <w:gridCol w:w="1171"/>
        <w:gridCol w:w="1127"/>
        <w:gridCol w:w="1162"/>
        <w:gridCol w:w="1117"/>
        <w:gridCol w:w="1099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Immeubles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Immeubles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Construction en cours ou en développement pour une future utilisation comme immeuble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terminologiques avec la norme 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terminologiques. Immeubles de placement détenus à des fins de 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2011-2013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Interaction entre IFRS 3 et IAS 40 pour savoir dans quelle mesure l’acquisition d’un immeuble peut être analysée comme un regroupement d’entreprises au sens d’IFRS 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51" w:name="_Toc459896599"/>
      <w:r>
        <w:t>Textes en cours d’adoption par la Communauté européenne</w:t>
      </w:r>
      <w:bookmarkEnd w:id="5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52" w:name="_Toc459896600"/>
      <w:r>
        <w:t>Textes en cours d’adoption par l’IASB</w:t>
      </w:r>
      <w:bookmarkEnd w:id="5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53" w:name="_Toc459896601"/>
      <w:r>
        <w:t>Projets IASB</w:t>
      </w:r>
      <w:bookmarkEnd w:id="5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54" w:name="_Toc459896602"/>
      <w:r>
        <w:t>NORMES ET INTERPRETATIONS LIEES</w:t>
      </w:r>
      <w:bookmarkEnd w:id="5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 spécifiquement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55" w:name="_Toc459896603"/>
      <w:r>
        <w:t>REJETS IFRIC LIES</w:t>
      </w:r>
      <w:bookmarkEnd w:id="5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56" w:name="_Toc459896604"/>
      <w:r>
        <w:t>RECOMMANDATIONS AMF ET DECISIONS ESMA</w:t>
      </w:r>
      <w:bookmarkEnd w:id="5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57" w:name="_Toc459896605"/>
      <w:r>
        <w:t>Recommandations AMF</w:t>
      </w:r>
      <w:bookmarkEnd w:id="5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58" w:name="_Toc459896606"/>
      <w:r>
        <w:t>Décisions ESMA</w:t>
      </w:r>
      <w:bookmarkEnd w:id="58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159"/>
        <w:gridCol w:w="1247"/>
        <w:gridCol w:w="1561"/>
        <w:gridCol w:w="1429"/>
      </w:tblGrid>
      <w:tr w:rsidR="0010605B" w:rsidRPr="000153D6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153D6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Juste valeur des immeubles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153D6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la juste valeur des immeubles de placement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EECS/0112-03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153D6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Détermination de la juste valeur d'un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153D6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effets de l’application d’un régime fiscal spécifique à des actifs nouvellement acquis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153D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153D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59" w:name="_Toc459896607"/>
      <w:r>
        <w:t>RAPPELS SUR LA NORME</w:t>
      </w:r>
      <w:bookmarkEnd w:id="5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60" w:name="_Toc459896608"/>
      <w:r>
        <w:t>RESSOURCES MISES A DISPOSITION</w:t>
      </w:r>
      <w:bookmarkEnd w:id="60"/>
    </w:p>
    <w:p w:rsidR="0010605B" w:rsidRDefault="0010605B" w:rsidP="0010605B">
      <w:pPr>
        <w:pStyle w:val="CACCorps"/>
      </w:pPr>
    </w:p>
    <w:p w:rsidR="00A00BD3" w:rsidRDefault="00100780" w:rsidP="00670F63">
      <w:pPr>
        <w:pStyle w:val="CACCorps"/>
        <w:numPr>
          <w:ilvl w:val="0"/>
          <w:numId w:val="38"/>
        </w:numPr>
      </w:pPr>
      <w:hyperlink r:id="rId13" w:history="1">
        <w:r w:rsidR="00A00BD3" w:rsidRPr="00A00BD3">
          <w:rPr>
            <w:rStyle w:val="Lienhypertexte"/>
          </w:rPr>
          <w:t>QFB20.X001</w:t>
        </w:r>
      </w:hyperlink>
      <w:r w:rsidR="00670F63">
        <w:t xml:space="preserve"> - Questionnaire sur les immeubles de placements (IAS 36)</w:t>
      </w:r>
    </w:p>
    <w:p w:rsidR="00670F63" w:rsidRDefault="00670F63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12"/>
        </w:numPr>
        <w:contextualSpacing w:val="0"/>
      </w:pPr>
      <w:bookmarkStart w:id="61" w:name="_Toc459896609"/>
      <w:r>
        <w:t>IAS 36 – Dépréciation des actifs</w:t>
      </w:r>
      <w:bookmarkEnd w:id="61"/>
    </w:p>
    <w:p w:rsidR="0010605B" w:rsidRPr="00DD09B7" w:rsidRDefault="0010605B" w:rsidP="0010605B"/>
    <w:p w:rsidR="0010605B" w:rsidRDefault="00AB3731" w:rsidP="002C736C">
      <w:pPr>
        <w:pStyle w:val="CACTitre2"/>
        <w:numPr>
          <w:ilvl w:val="1"/>
          <w:numId w:val="13"/>
        </w:numPr>
      </w:pPr>
      <w:bookmarkStart w:id="62" w:name="_Toc459896610"/>
      <w:r>
        <w:t>HISTORIQUE</w:t>
      </w:r>
      <w:bookmarkEnd w:id="6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63" w:name="_Toc459896611"/>
      <w:r>
        <w:t>Historique au niveau de l’Union européenne</w:t>
      </w:r>
      <w:bookmarkEnd w:id="63"/>
    </w:p>
    <w:p w:rsidR="0010605B" w:rsidRDefault="0010605B" w:rsidP="0010605B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75"/>
        <w:gridCol w:w="1169"/>
        <w:gridCol w:w="1121"/>
        <w:gridCol w:w="1159"/>
        <w:gridCol w:w="1112"/>
        <w:gridCol w:w="1099"/>
      </w:tblGrid>
      <w:tr w:rsidR="0010605B" w:rsidRPr="000B5F20" w:rsidTr="0010605B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d'actifs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01/06/1998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d'IAS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d'actifs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8, IAS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l'amendement d'IAS 27 Coût d’une participation dans une filiale, une entité contrôlée conjointement ou une entreprise associée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sur les estimations utilisées pour évaluer les valeurs recouvrables d'UGT avec goodwill ou immobilisations incorporelles à durée d'utilité indéterminée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Unité de compte pour un test de dépréciation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champ d’application des informations à fournir sur la valeur recouvrable des actifs dépréciés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64" w:name="_Toc459896612"/>
      <w:r>
        <w:t>Textes en cours d’adoption par la Communauté européenne</w:t>
      </w:r>
      <w:bookmarkEnd w:id="6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65" w:name="_Toc459896613"/>
      <w:r>
        <w:t>Textes en cours d’adoption par l’IASB</w:t>
      </w:r>
      <w:bookmarkEnd w:id="6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66" w:name="_Toc459896614"/>
      <w:r>
        <w:t>Projets IASB</w:t>
      </w:r>
      <w:bookmarkEnd w:id="6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67" w:name="_Toc459896615"/>
      <w:r>
        <w:t>NORMES ET INTERPRETATIONS LIEES</w:t>
      </w:r>
      <w:bookmarkEnd w:id="67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3"/>
        </w:numPr>
      </w:pPr>
      <w:r>
        <w:t xml:space="preserve">IAS 16 – </w:t>
      </w:r>
      <w:r w:rsidRPr="0079340D">
        <w:rPr>
          <w:i/>
        </w:rPr>
        <w:t>Immobilisations corporelles</w:t>
      </w:r>
    </w:p>
    <w:p w:rsidR="0010605B" w:rsidRDefault="0010605B" w:rsidP="002C736C">
      <w:pPr>
        <w:pStyle w:val="CACCorps"/>
        <w:numPr>
          <w:ilvl w:val="0"/>
          <w:numId w:val="33"/>
        </w:numPr>
      </w:pPr>
      <w:r>
        <w:t xml:space="preserve">IAS 38 – </w:t>
      </w:r>
      <w:r w:rsidRPr="0079340D">
        <w:rPr>
          <w:i/>
        </w:rPr>
        <w:t>Immobilisations incorporelles</w:t>
      </w:r>
    </w:p>
    <w:p w:rsidR="0010605B" w:rsidRDefault="0010605B" w:rsidP="002C736C">
      <w:pPr>
        <w:pStyle w:val="CACCorps"/>
        <w:numPr>
          <w:ilvl w:val="0"/>
          <w:numId w:val="33"/>
        </w:numPr>
      </w:pPr>
      <w:r>
        <w:t xml:space="preserve">IFRIC 10 – </w:t>
      </w:r>
      <w:r w:rsidRPr="0079340D">
        <w:rPr>
          <w:i/>
        </w:rPr>
        <w:t>Information financière intermédiaire et pertes de valeur (dépréciation)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68" w:name="_Toc459896616"/>
      <w:r>
        <w:t>REJETS IFRIC LIES</w:t>
      </w:r>
      <w:bookmarkEnd w:id="6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69" w:name="_Toc459896617"/>
      <w:r>
        <w:t>RECOMMANDATIONS AMF ET DECISIONS ESMA</w:t>
      </w:r>
      <w:bookmarkEnd w:id="6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70" w:name="_Toc459896618"/>
      <w:r>
        <w:t>Recommandations AMF</w:t>
      </w:r>
      <w:bookmarkEnd w:id="70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3883"/>
        <w:gridCol w:w="1027"/>
        <w:gridCol w:w="1509"/>
        <w:gridCol w:w="1296"/>
      </w:tblGrid>
      <w:tr w:rsidR="0010605B" w:rsidRPr="0079340D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Les informations requises par les paragraphes 134 et 135 d’IAS 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Réaffectation d’écarts d’acquisition dans le cadre de la première application de la norme IFRS 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UGT ou Groupe d'UGT auquel un écart d’acquisition est affecté ne doit pas être plus grand qu’un secteur opérationnel avant regroupement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Actifs non-utilisés et projets de construction arrêtés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Présentation des hypothèses clés des tests de dépréciation des goodwills et actifs incorporels à durée de vie indéfinie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Sensibilité aux hypothèses clés des tests de dépréciation des goodwills et actifs incorporels à durée de vie indéfinie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Présentation de la juste valeur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Tests de dépréciation de goodwill et intérêts minoritaires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Cession d’une partie d’une UGT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Hypothèses des tests de dépréciation pour les goodwills ou immobilisations incorporelles à durée de vie indéterminée significatifs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Sensibilité des tests de dépréciation des goodwills ou immobilisations incorporelles à durée de vie indéterminée significatifs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Méthode de la juste valeur diminuée des coûts de cession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Taux d’actualisation des tests de dépréciation des actifs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Taux d'intérêt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71" w:name="_Toc459896619"/>
      <w:r>
        <w:t>Décisions ESMA</w:t>
      </w:r>
      <w:bookmarkEnd w:id="71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307"/>
        <w:gridCol w:w="1236"/>
        <w:gridCol w:w="1481"/>
        <w:gridCol w:w="1372"/>
      </w:tblGrid>
      <w:tr w:rsidR="0010605B" w:rsidRPr="0079340D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4E2378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Amo</w:t>
            </w:r>
            <w:r w:rsidR="004E2378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</w:t>
            </w: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tissement des immobilisations incorporelles une durée de vie définie inclues dans le goodwill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EECS/1207-01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dépréciation d'une participation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EECS/0508-07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Tests de dépréciation des 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EECS/0610-04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Dépréciation des immobilisations incorporelles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EECS/0610-05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01/02/2007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Dépréciation des actifs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EECS/0610-13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Dépréciation d'actifs non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EECS/0910-05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Informations à fournir sur les dépréciation d 'actifs non financiers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EECS/0910-09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Taux d'actualisation utilisé pour déterminer la valeur d'utilité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EECS/0112-06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Changements raisonnables dans les estimations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EECS/0112-07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test de dépréciation du goodwill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EECS/0112-08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Informations à fournir sur les UGT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EECS/0112-09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Evaluation de la valeur d'utilité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EECS/0113-04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Taux d'actualisation utilisé pour déterminer la valeur d'utilité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EECS/0113-09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Vente d’une activité et allocation de goodwill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EECS/0114-02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Identification d'une UGT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EECS/0114-04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Hypothèses clés utilisées dans le test de dépréciation des écarts d'acquisition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EECS/0214-09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Cohérence entre les indicateurs d’impairment d’IFRS 6 et les éléments à prendre en compte dans le calcul du test d’impairment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EECS/0115-07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Dépréciation de goodwill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EECS/0215-07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79340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Valeur comptable d’une UGT à tester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EECS/0215-09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79340D" w:rsidRDefault="0010605B" w:rsidP="0010605B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79340D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72" w:name="_Toc459896620"/>
      <w:r>
        <w:t>RAPPELS SUR LA NORME</w:t>
      </w:r>
      <w:bookmarkEnd w:id="7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73" w:name="_Toc459896621"/>
      <w:r>
        <w:t>RESSOURCES MISES A DISPOSITION</w:t>
      </w:r>
      <w:bookmarkEnd w:id="73"/>
    </w:p>
    <w:p w:rsidR="0010605B" w:rsidRDefault="0010605B" w:rsidP="0010605B">
      <w:pPr>
        <w:pStyle w:val="CACCorps"/>
      </w:pPr>
    </w:p>
    <w:p w:rsidR="00670F63" w:rsidRPr="00670F63" w:rsidRDefault="00100780" w:rsidP="00670F63">
      <w:pPr>
        <w:pStyle w:val="CACCorps"/>
        <w:numPr>
          <w:ilvl w:val="0"/>
          <w:numId w:val="38"/>
        </w:numPr>
      </w:pPr>
      <w:hyperlink r:id="rId14" w:history="1">
        <w:r w:rsidR="00A00BD3" w:rsidRPr="00270593">
          <w:rPr>
            <w:rStyle w:val="Lienhypertexte"/>
          </w:rPr>
          <w:t>QFB25.X001</w:t>
        </w:r>
      </w:hyperlink>
      <w:r w:rsidR="00670F63">
        <w:t xml:space="preserve"> - Questionnaire sur les dépréciations d’actifs (IAS 36)</w:t>
      </w:r>
    </w:p>
    <w:p w:rsidR="00A00BD3" w:rsidRDefault="00100780" w:rsidP="00670F63">
      <w:pPr>
        <w:pStyle w:val="CACCorps"/>
        <w:numPr>
          <w:ilvl w:val="0"/>
          <w:numId w:val="38"/>
        </w:numPr>
      </w:pPr>
      <w:hyperlink r:id="rId15" w:history="1">
        <w:r w:rsidR="00270593" w:rsidRPr="00270593">
          <w:rPr>
            <w:rStyle w:val="Lienhypertexte"/>
          </w:rPr>
          <w:t>QFB25.X002</w:t>
        </w:r>
      </w:hyperlink>
      <w:r w:rsidR="00670F63">
        <w:t xml:space="preserve"> - Questionnaire de contrôle des prévisionnels lors de tests de dépréciation (IAS 36)</w:t>
      </w:r>
    </w:p>
    <w:p w:rsidR="00670F63" w:rsidRDefault="00670F63" w:rsidP="0010605B">
      <w:pPr>
        <w:pStyle w:val="CACCorps"/>
      </w:pPr>
    </w:p>
    <w:p w:rsidR="0010605B" w:rsidRDefault="0010605B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14"/>
        </w:numPr>
        <w:contextualSpacing w:val="0"/>
      </w:pPr>
      <w:bookmarkStart w:id="74" w:name="_Toc459896622"/>
      <w:r>
        <w:t>IFRS 16 – Future norme sur les contrats de location</w:t>
      </w:r>
      <w:bookmarkEnd w:id="74"/>
      <w:r>
        <w:t xml:space="preserve"> </w:t>
      </w:r>
    </w:p>
    <w:p w:rsidR="006E6166" w:rsidRDefault="00314186" w:rsidP="0010605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4" behindDoc="0" locked="0" layoutInCell="1" allowOverlap="1" wp14:anchorId="419A7F2C" wp14:editId="5F0D993E">
                <wp:simplePos x="0" y="0"/>
                <wp:positionH relativeFrom="column">
                  <wp:posOffset>1289685</wp:posOffset>
                </wp:positionH>
                <wp:positionV relativeFrom="paragraph">
                  <wp:posOffset>111872</wp:posOffset>
                </wp:positionV>
                <wp:extent cx="3044190" cy="341630"/>
                <wp:effectExtent l="0" t="0" r="22860" b="2032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34163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3103" w:rsidRPr="00314186" w:rsidRDefault="00223103" w:rsidP="002231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314186">
                              <w:rPr>
                                <w:b/>
                                <w:sz w:val="24"/>
                              </w:rPr>
                              <w:t>FICHE A SAVOIR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9A7F2C" id="Rectangle à coins arrondis 3" o:spid="_x0000_s1027" style="position:absolute;left:0;text-align:left;margin-left:101.55pt;margin-top:8.8pt;width:239.7pt;height:26.9pt;z-index:2516648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4pSpQIAAJYFAAAOAAAAZHJzL2Uyb0RvYy54bWysVM1OGzEQvlfqO1i+l938ACVigyIQVSUE&#10;CKg4O15v1pLX446dbNKn6bv0xRh7N0sEqIeqOTgzOzPf/M/5xbYxbKPQa7AFHx3lnCkrodR2VfAf&#10;T9dfvnLmg7ClMGBVwXfK84v550/nrZupMdRgSoWMQKyfta7gdQhulmVe1qoR/gicsiSsABsRiMVV&#10;VqJoCb0x2TjPT7IWsHQIUnlPX686IZ8n/KpSMtxVlVeBmYJTbCG9mN5lfLP5uZitULhayz4M8Q9R&#10;NEJbcjpAXYkg2Br1O6hGSwQPVTiS0GRQVVqqlANlM8rfZPNYC6dSLlQc74Yy+f8HK28398h0WfAJ&#10;Z1Y01KIHKpqwK6PYn99MgraeCUSwpfZsEgvWOj8ju0d3jz3niYzZbyts4j/lxbapyLuhyGobmKSP&#10;k3w6HZ1RLyTJJtPRySR1IXu1dujDNwUNi0TBEda2jEGlAovNjQ/klvT3etGjB6PLa21MYnC1vDTI&#10;NoK6fppP8sXexYFaFtPoAk9U2BkVjY19UBVVhEIdJ49pFtWAJ6RUNow6US1K1bk5zukXq0OBDRaJ&#10;S4ARuaLwBuweIM75e+wOptePpiqN8mCc/y2wzniwSJ7BhsG40RbwIwBDWfWeO30K/6A0kQzb5TZN&#10;S9KMX5ZQ7miCELrV8k5ea2rbjfDhXiDtEnWa7kO4o6cy0BYceoqzGvDXR9+jPo04STlraTcL7n+u&#10;BSrOzHdLw382mk7jMidmenw6JgYPJctDiV03l0CDMKJL5GQio34we7JCaJ7pjCyiVxIJK8l3wWXA&#10;PXMZuptBh0iqxSKp0QI7EW7so5MRPNY5TuTT9lmg62c30NTfwn6PxezN9Ha60dLCYh2g0mm0X+va&#10;d4CWP41Sf6jidTnkk9brOZ2/AAAA//8DAFBLAwQUAAYACAAAACEAmuJUteAAAAAJAQAADwAAAGRy&#10;cy9kb3ducmV2LnhtbEyPQU+DQBCF7yb+h82YeLMLaGmDLE1jYiMnazXa4xYGlpSdJey2xX/veNLj&#10;5H1575t8NdlenHH0nSMF8SwCgVS5uqNWwcf7890ShA+aat07QgXf6GFVXF/lOqvdhd7wvAut4BLy&#10;mVZgQhgyKX1l0Go/cwMSZ40brQ58jq2sR33hctvLJIpSaXVHvGD0gE8Gq+PuZBXst1/zcnMsX8su&#10;8eYlbj73zXqj1O3NtH4EEXAKfzD86rM6FOx0cCeqvegVJNF9zCgHixQEA+kymYM4KFjEDyCLXP7/&#10;oPgBAAD//wMAUEsBAi0AFAAGAAgAAAAhALaDOJL+AAAA4QEAABMAAAAAAAAAAAAAAAAAAAAAAFtD&#10;b250ZW50X1R5cGVzXS54bWxQSwECLQAUAAYACAAAACEAOP0h/9YAAACUAQAACwAAAAAAAAAAAAAA&#10;AAAvAQAAX3JlbHMvLnJlbHNQSwECLQAUAAYACAAAACEA2ceKUqUCAACWBQAADgAAAAAAAAAAAAAA&#10;AAAuAgAAZHJzL2Uyb0RvYy54bWxQSwECLQAUAAYACAAAACEAmuJUteAAAAAJAQAADwAAAAAAAAAA&#10;AAAAAAD/BAAAZHJzL2Rvd25yZXYueG1sUEsFBgAAAAAEAAQA8wAAAAwGAAAAAA==&#10;" fillcolor="#7030a0" strokecolor="#301628 [1604]" strokeweight="2pt">
                <v:textbox>
                  <w:txbxContent>
                    <w:p w:rsidR="00223103" w:rsidRPr="00314186" w:rsidRDefault="00223103" w:rsidP="0022310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314186">
                        <w:rPr>
                          <w:b/>
                          <w:sz w:val="24"/>
                        </w:rPr>
                        <w:t>FICHE A SAVOIR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3103" w:rsidRDefault="00314186" w:rsidP="0010605B">
      <w:r w:rsidRPr="0022310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0" behindDoc="0" locked="0" layoutInCell="1" allowOverlap="1" wp14:anchorId="12EB5B33" wp14:editId="6A1667C0">
                <wp:simplePos x="0" y="0"/>
                <wp:positionH relativeFrom="column">
                  <wp:posOffset>133985</wp:posOffset>
                </wp:positionH>
                <wp:positionV relativeFrom="paragraph">
                  <wp:posOffset>82027</wp:posOffset>
                </wp:positionV>
                <wp:extent cx="5626735" cy="632460"/>
                <wp:effectExtent l="0" t="0" r="12065" b="1524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735" cy="6324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3103" w:rsidRPr="00223103" w:rsidRDefault="00100780" w:rsidP="00314186">
                            <w:pPr>
                              <w:spacing w:after="12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hyperlink r:id="rId16" w:history="1">
                              <w:r w:rsidR="00223103" w:rsidRPr="00314186">
                                <w:rPr>
                                  <w:rStyle w:val="Lienhypertexte"/>
                                </w:rPr>
                                <w:t>Comptabilisation des contrats de location chez le preneur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EB5B33" id="Rectangle à coins arrondis 2" o:spid="_x0000_s1028" style="position:absolute;left:0;text-align:left;margin-left:10.55pt;margin-top:6.45pt;width:443.05pt;height:49.8pt;z-index:25166387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JhHlwIAAGsFAAAOAAAAZHJzL2Uyb0RvYy54bWysVM1u2zAMvg/YOwi6r07cJN2COEXQosOA&#10;og3aDj0rshQLkEVNUmJnT7N32YuNkh2naIsdhuWgUCL58ccfubhsa032wnkFpqDjsxElwnAoldkW&#10;9PvTzafPlPjATMk0GFHQg/D0cvnxw6Kxc5FDBboUjiCI8fPGFrQKwc6zzPNK1MyfgRUGlRJczQJe&#10;3TYrHWsQvdZZPhrNsgZcaR1w4T2+XndKukz4Ugoe7qX0IhBdUMwtpNOlcxPPbLlg861jtlK8T4P9&#10;QxY1UwaDDlDXLDCyc+oNVK24Aw8ynHGoM5BScZFqwGrGo1fVPFbMilQLNsfboU3+/8Hyu/3aEVUW&#10;NKfEsBo/0QM2jZmtFuT3L8JBGU+Yc2BK5UkeG9ZYP0e/R7t2/c2jGKtvpavjP9ZF2tTkw9Bk0QbC&#10;8XE6y2cX51NKOOpm5/lklr5CdvK2zoevAmoShYI62JkyJpUazPa3PmBYtD/axYgGbpTW8T1m1+WT&#10;pHDQIhpo8yAkFooZ5AkoUUxcaUf2DMnBOBcmjDtVxUrRPU9H+ItFY7zBI90SYESWGHjA7gEifd9i&#10;dzC9fXQViaGD8+hviXXOg0eKDCYMzrUy4N4D0FhVH7mzPzapa03sUmg3bU8CtIwvGygPSAwH3cR4&#10;y28Ufo1b5sOaORwRHCYc+3CPh9TQFBR6iZIK3M/33qM9Mhe1lDQ4cgX1P3bMCUr0N4Oc/jKeTOKM&#10;pstkepHjxb3UbF5qzK6+AvxwY1wwlicx2gd9FKWD+hm3wypGRRUzHGMXdHMUr0K3CHC7cLFaJSOc&#10;SsvCrXm0PELHLkeaPbXPzNmekAGpfAfH4WTzV5TsbKOngdUugFSJr6eu9v3HiU5E6rdPXBkv78nq&#10;tCOXfwAAAP//AwBQSwMEFAAGAAgAAAAhAK9qaijdAAAACQEAAA8AAABkcnMvZG93bnJldi54bWxM&#10;j0FPg0AQhe8m/ofNmHizCxiRUpbGmPTkxVYTrws7BYSdJexS6L93POlx3nt5871iv9pBXHDynSMF&#10;8SYCgVQ701Gj4PPj8JCB8EGT0YMjVHBFD/vy9qbQuXELHfFyCo3gEvK5VtCGMOZS+rpFq/3GjUjs&#10;nd1kdeBzaqSZ9MLldpBJFKXS6o74Q6tHfG2x7k+zVfD1Xi3h+5od37IufTTNoQ9z2it1f7e+7EAE&#10;XMNfGH7xGR1KZqrcTMaLQUESx5xkPdmCYH8bPScgKhbi5AlkWcj/C8ofAAAA//8DAFBLAQItABQA&#10;BgAIAAAAIQC2gziS/gAAAOEBAAATAAAAAAAAAAAAAAAAAAAAAABbQ29udGVudF9UeXBlc10ueG1s&#10;UEsBAi0AFAAGAAgAAAAhADj9If/WAAAAlAEAAAsAAAAAAAAAAAAAAAAALwEAAF9yZWxzLy5yZWxz&#10;UEsBAi0AFAAGAAgAAAAhAHpMmEeXAgAAawUAAA4AAAAAAAAAAAAAAAAALgIAAGRycy9lMm9Eb2Mu&#10;eG1sUEsBAi0AFAAGAAgAAAAhAK9qaijdAAAACQEAAA8AAAAAAAAAAAAAAAAA8QQAAGRycy9kb3du&#10;cmV2LnhtbFBLBQYAAAAABAAEAPMAAAD7BQAAAAA=&#10;" filled="f" strokecolor="#301628 [1604]" strokeweight="2pt">
                <v:textbox>
                  <w:txbxContent>
                    <w:p w:rsidR="00223103" w:rsidRPr="00223103" w:rsidRDefault="00100780" w:rsidP="00314186">
                      <w:pPr>
                        <w:spacing w:after="120"/>
                        <w:jc w:val="center"/>
                        <w:rPr>
                          <w:color w:val="000000" w:themeColor="text1"/>
                        </w:rPr>
                      </w:pPr>
                      <w:hyperlink r:id="rId17" w:history="1">
                        <w:r w:rsidR="00223103" w:rsidRPr="00314186">
                          <w:rPr>
                            <w:rStyle w:val="Lienhypertexte"/>
                          </w:rPr>
                          <w:t>Comptabilisation des contrats de location chez le preneur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</w:p>
    <w:p w:rsidR="00223103" w:rsidRDefault="00223103" w:rsidP="0010605B"/>
    <w:p w:rsidR="00223103" w:rsidRDefault="00223103" w:rsidP="0010605B"/>
    <w:p w:rsidR="00223103" w:rsidRDefault="00223103" w:rsidP="0010605B"/>
    <w:p w:rsidR="00223103" w:rsidRDefault="00223103" w:rsidP="0010605B"/>
    <w:p w:rsidR="00223103" w:rsidRDefault="00223103" w:rsidP="0010605B"/>
    <w:p w:rsidR="0010605B" w:rsidRDefault="0010605B" w:rsidP="002C736C">
      <w:pPr>
        <w:pStyle w:val="CACTitre2"/>
        <w:numPr>
          <w:ilvl w:val="1"/>
          <w:numId w:val="15"/>
        </w:numPr>
      </w:pPr>
      <w:bookmarkStart w:id="75" w:name="_Toc459896623"/>
      <w:r>
        <w:t>HISTORIQUE</w:t>
      </w:r>
      <w:bookmarkEnd w:id="7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76" w:name="_Toc459896624"/>
      <w:r>
        <w:t>Historique au niveau de l’Union européenne</w:t>
      </w:r>
      <w:bookmarkEnd w:id="76"/>
    </w:p>
    <w:p w:rsidR="0010605B" w:rsidRDefault="0010605B" w:rsidP="0010605B">
      <w:pPr>
        <w:pStyle w:val="CACTitre3"/>
        <w:numPr>
          <w:ilvl w:val="0"/>
          <w:numId w:val="0"/>
        </w:numPr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77" w:name="_Toc459896625"/>
      <w:r>
        <w:t>Textes en cours d’adoption par la Communauté européenne</w:t>
      </w:r>
      <w:bookmarkEnd w:id="77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074"/>
        <w:gridCol w:w="1410"/>
        <w:gridCol w:w="1609"/>
        <w:gridCol w:w="1361"/>
        <w:gridCol w:w="1560"/>
        <w:gridCol w:w="1492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 déterminer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78" w:name="_Toc459896626"/>
      <w:r>
        <w:t>Textes en cours d’adoption par l’IASB</w:t>
      </w:r>
      <w:bookmarkEnd w:id="7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79" w:name="_Toc459896627"/>
      <w:r>
        <w:t>Projets IASB</w:t>
      </w:r>
      <w:bookmarkEnd w:id="7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80" w:name="_Toc459896628"/>
      <w:r>
        <w:t>NORMES ET INTERPRETATIONS LIEES</w:t>
      </w:r>
      <w:bookmarkEnd w:id="80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IAS 17 – </w:t>
      </w:r>
      <w:r w:rsidRPr="00A604E7">
        <w:rPr>
          <w:i/>
        </w:rPr>
        <w:t>Contrats de location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IFRIC 4 – </w:t>
      </w:r>
      <w:r w:rsidRPr="00A604E7">
        <w:rPr>
          <w:i/>
        </w:rPr>
        <w:t>Déterminer si un accord contient</w:t>
      </w:r>
      <w:r>
        <w:rPr>
          <w:i/>
        </w:rPr>
        <w:t xml:space="preserve"> un contrat de location.</w:t>
      </w:r>
      <w:r w:rsidRPr="00A604E7">
        <w:t xml:space="preserve"> </w:t>
      </w:r>
      <w:r>
        <w:t>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15 – </w:t>
      </w:r>
      <w:r w:rsidRPr="00A604E7">
        <w:rPr>
          <w:i/>
        </w:rPr>
        <w:t>Avantages dans les contrats de location simple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27 – </w:t>
      </w:r>
      <w:r w:rsidRPr="00A604E7">
        <w:rPr>
          <w:i/>
        </w:rPr>
        <w:t>Évaluation de la substance des transactions prenant la forme juridique d'un contrat de location</w:t>
      </w:r>
      <w:r>
        <w:rPr>
          <w:i/>
        </w:rPr>
        <w:t>.</w:t>
      </w:r>
      <w:r>
        <w:t xml:space="preserve"> Le texte sera abrogé lors de l’adoption d’IFRS 16.</w:t>
      </w:r>
    </w:p>
    <w:p w:rsidR="0010605B" w:rsidRDefault="0010605B" w:rsidP="0010605B">
      <w:pPr>
        <w:pStyle w:val="CACCorps"/>
        <w:ind w:left="406"/>
      </w:pPr>
    </w:p>
    <w:p w:rsidR="0010605B" w:rsidRDefault="0010605B" w:rsidP="0010605B">
      <w:pPr>
        <w:pStyle w:val="CACTitre2"/>
      </w:pPr>
      <w:bookmarkStart w:id="81" w:name="_Toc459896629"/>
      <w:r>
        <w:t>REJETS IFRIC LIES</w:t>
      </w:r>
      <w:bookmarkEnd w:id="8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82" w:name="_Toc459896630"/>
      <w:r>
        <w:t>RECOMMANDATIONS AMF ET DECISIONS ESMA</w:t>
      </w:r>
      <w:bookmarkEnd w:id="8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83" w:name="_Toc459896631"/>
      <w:r>
        <w:t>Recommandations AMF</w:t>
      </w:r>
      <w:bookmarkEnd w:id="8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84" w:name="_Toc459896632"/>
      <w:r>
        <w:t>Décisions ESMA</w:t>
      </w:r>
      <w:bookmarkEnd w:id="8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85" w:name="_Toc459896633"/>
      <w:r>
        <w:t>RAPPELS SUR LA NORME</w:t>
      </w:r>
      <w:bookmarkEnd w:id="8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2"/>
      </w:pPr>
      <w:bookmarkStart w:id="86" w:name="_Toc459896634"/>
      <w:r>
        <w:t>RESSOURCES MISES A DISPOSITION</w:t>
      </w:r>
      <w:bookmarkEnd w:id="8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bookmarkStart w:id="87" w:name="_Toc459896635"/>
      <w:r>
        <w:t>IAS 17 – Contrat de location</w:t>
      </w:r>
      <w:bookmarkEnd w:id="87"/>
      <w:r>
        <w:t xml:space="preserve"> </w:t>
      </w:r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16"/>
        </w:numPr>
      </w:pPr>
      <w:bookmarkStart w:id="88" w:name="_Toc459896636"/>
      <w:r>
        <w:t>HISTORIQUE</w:t>
      </w:r>
      <w:bookmarkEnd w:id="88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89" w:name="_Toc459896637"/>
      <w:r>
        <w:t>Historique au niveau de l’Union européenne</w:t>
      </w:r>
      <w:bookmarkEnd w:id="89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623"/>
        <w:gridCol w:w="1232"/>
        <w:gridCol w:w="1250"/>
        <w:gridCol w:w="1212"/>
        <w:gridCol w:w="1230"/>
        <w:gridCol w:w="1167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01/12/1997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Contrats de 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Amendements suite à l'adoption d'IFRS 7.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18/08/2005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locations de terrains et constructions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90" w:name="_Toc459896638"/>
      <w:r>
        <w:t>Textes en cours d’adoption par la Communauté européenne</w:t>
      </w:r>
      <w:bookmarkEnd w:id="90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433"/>
        <w:gridCol w:w="1353"/>
        <w:gridCol w:w="1506"/>
        <w:gridCol w:w="1330"/>
        <w:gridCol w:w="1466"/>
        <w:gridCol w:w="1301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 suite à l'adoption d'IFRS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13/01/2016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A déterminer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91" w:name="_Toc459896639"/>
      <w:r>
        <w:t>Textes en cours d’adoption par l’IASB</w:t>
      </w:r>
      <w:bookmarkEnd w:id="9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92" w:name="_Toc459896640"/>
      <w:r>
        <w:t>Projets IASB</w:t>
      </w:r>
      <w:bookmarkEnd w:id="9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314186" w:rsidRDefault="00314186">
      <w:pPr>
        <w:jc w:val="left"/>
      </w:pPr>
      <w:r>
        <w:br w:type="page"/>
      </w:r>
    </w:p>
    <w:p w:rsidR="00314186" w:rsidRDefault="00314186" w:rsidP="0010605B">
      <w:pPr>
        <w:pStyle w:val="CACCorps"/>
      </w:pPr>
    </w:p>
    <w:p w:rsidR="0010605B" w:rsidRDefault="002919AE" w:rsidP="0010605B">
      <w:pPr>
        <w:pStyle w:val="CACTitre2"/>
      </w:pPr>
      <w:bookmarkStart w:id="93" w:name="_Toc459896641"/>
      <w:r>
        <w:t>NORMES ET INTERPRETATIONS LIEES</w:t>
      </w:r>
      <w:bookmarkEnd w:id="93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IFRS 16 – </w:t>
      </w:r>
      <w:r w:rsidRPr="00A604E7">
        <w:rPr>
          <w:i/>
        </w:rPr>
        <w:t>Contrats de location</w:t>
      </w:r>
      <w:r>
        <w:t>. Le texte remplacera IAS17.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IFRIC 4 – </w:t>
      </w:r>
      <w:r w:rsidRPr="00A604E7">
        <w:rPr>
          <w:i/>
        </w:rPr>
        <w:t>Déterminer si un accord contient</w:t>
      </w:r>
      <w:r>
        <w:rPr>
          <w:i/>
        </w:rPr>
        <w:t xml:space="preserve"> un contrat de location.</w:t>
      </w:r>
      <w:r w:rsidRPr="00A604E7">
        <w:t xml:space="preserve"> </w:t>
      </w:r>
      <w:r>
        <w:t>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15 – </w:t>
      </w:r>
      <w:r w:rsidRPr="00A604E7">
        <w:rPr>
          <w:i/>
        </w:rPr>
        <w:t>Avantages dans les contrats de location simple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27 – </w:t>
      </w:r>
      <w:r w:rsidRPr="00A604E7">
        <w:rPr>
          <w:i/>
        </w:rPr>
        <w:t>Évaluation de la substance des transactions prenant la forme juridique d'un contrat de location</w:t>
      </w:r>
      <w:r>
        <w:rPr>
          <w:i/>
        </w:rPr>
        <w:t>.</w:t>
      </w:r>
      <w:r>
        <w:t xml:space="preserve"> Le texte sera abrogé lors de l’adoption d’IFRS 16.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94" w:name="_Toc459896642"/>
      <w:r>
        <w:t>REJETS</w:t>
      </w:r>
      <w:r w:rsidR="0010605B">
        <w:t xml:space="preserve"> IFRIC </w:t>
      </w:r>
      <w:r>
        <w:t>LIES</w:t>
      </w:r>
      <w:bookmarkEnd w:id="94"/>
    </w:p>
    <w:p w:rsidR="0010605B" w:rsidRDefault="0010605B" w:rsidP="0010605B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10605B" w:rsidRPr="003839B4" w:rsidTr="0010605B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839B4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3839B4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839B4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3839B4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839B4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3839B4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10605B" w:rsidRPr="003839B4" w:rsidTr="0010605B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3839B4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3839B4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3839B4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3839B4">
              <w:rPr>
                <w:rFonts w:eastAsia="Times New Roman" w:cs="Times New Roman"/>
                <w:color w:val="000000"/>
                <w:lang w:eastAsia="fr-FR"/>
              </w:rPr>
              <w:t>Sens de la notion de "Coûts marginaux"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839B4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3839B4">
              <w:rPr>
                <w:rFonts w:eastAsia="Times New Roman" w:cs="Times New Roman"/>
                <w:color w:val="000000"/>
                <w:lang w:eastAsia="fr-FR"/>
              </w:rPr>
              <w:t>01/03/2014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95" w:name="_Toc459896643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9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96" w:name="_Toc459896644"/>
      <w:r>
        <w:t>Recommandations AMF</w:t>
      </w:r>
      <w:bookmarkEnd w:id="9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97" w:name="_Toc459896645"/>
      <w:r>
        <w:t>Décisions ESMA</w:t>
      </w:r>
      <w:bookmarkEnd w:id="9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98" w:name="_Toc459896646"/>
      <w:r>
        <w:t>RAPPELS SUR LA NORME</w:t>
      </w:r>
      <w:bookmarkEnd w:id="9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99" w:name="_Toc459896647"/>
      <w:r>
        <w:t>RESSOURCES MISES A DISPOSITION</w:t>
      </w:r>
      <w:bookmarkEnd w:id="9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bookmarkStart w:id="100" w:name="_Toc459896648"/>
      <w:r>
        <w:t>IFRIC 4 – Déterminer si un accord contient un contrat de location</w:t>
      </w:r>
      <w:bookmarkEnd w:id="100"/>
      <w:r>
        <w:t xml:space="preserve"> </w:t>
      </w:r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17"/>
        </w:numPr>
      </w:pPr>
      <w:bookmarkStart w:id="101" w:name="_Toc459896649"/>
      <w:r>
        <w:t>HISTORIQUE</w:t>
      </w:r>
      <w:bookmarkEnd w:id="101"/>
    </w:p>
    <w:p w:rsidR="0010605B" w:rsidRDefault="0010605B" w:rsidP="0010605B">
      <w:pPr>
        <w:pStyle w:val="CACTitre2"/>
        <w:numPr>
          <w:ilvl w:val="0"/>
          <w:numId w:val="0"/>
        </w:numPr>
        <w:ind w:left="792"/>
      </w:pPr>
    </w:p>
    <w:p w:rsidR="0010605B" w:rsidRDefault="0010605B" w:rsidP="0010605B">
      <w:pPr>
        <w:pStyle w:val="CACTitre3"/>
      </w:pPr>
      <w:bookmarkStart w:id="102" w:name="_Toc459896650"/>
      <w:r>
        <w:t>Historique au niveau de l’Union européenne</w:t>
      </w:r>
      <w:bookmarkEnd w:id="102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610"/>
        <w:gridCol w:w="1273"/>
        <w:gridCol w:w="1331"/>
        <w:gridCol w:w="1246"/>
        <w:gridCol w:w="1305"/>
        <w:gridCol w:w="1212"/>
      </w:tblGrid>
      <w:tr w:rsidR="0010605B" w:rsidRPr="003E70B3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3E70B3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E70B3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Déterminer si un accord contient un contrat de 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3E70B3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E70B3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314186" w:rsidRDefault="00314186">
      <w:pPr>
        <w:jc w:val="left"/>
      </w:pPr>
      <w:r>
        <w:br w:type="page"/>
      </w:r>
    </w:p>
    <w:p w:rsidR="00314186" w:rsidRDefault="00314186" w:rsidP="002919AE">
      <w:pPr>
        <w:pStyle w:val="CACCorps"/>
      </w:pPr>
    </w:p>
    <w:p w:rsidR="0010605B" w:rsidRDefault="0010605B" w:rsidP="0010605B">
      <w:pPr>
        <w:pStyle w:val="CACTitre3"/>
      </w:pPr>
      <w:bookmarkStart w:id="103" w:name="_Toc459896651"/>
      <w:r>
        <w:t>Textes en cours d’adoption par la Communauté européenne</w:t>
      </w:r>
      <w:bookmarkEnd w:id="103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275"/>
        <w:gridCol w:w="1353"/>
        <w:gridCol w:w="1505"/>
        <w:gridCol w:w="1330"/>
        <w:gridCol w:w="1465"/>
        <w:gridCol w:w="1461"/>
      </w:tblGrid>
      <w:tr w:rsidR="0010605B" w:rsidRPr="003E70B3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3E70B3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3E70B3" w:rsidRDefault="0010605B" w:rsidP="0010605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Suite à l'adoption d'IFRS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13/01/2016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A déterminer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04" w:name="_Toc459896652"/>
      <w:r>
        <w:t>Textes en cours d’adoption par l’IASB</w:t>
      </w:r>
      <w:bookmarkEnd w:id="10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05" w:name="_Toc459896653"/>
      <w:r>
        <w:t>Projets IASB</w:t>
      </w:r>
      <w:bookmarkEnd w:id="10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06" w:name="_Toc459896654"/>
      <w:r>
        <w:t>NORMES ET INTERPRETATIONS LIEES</w:t>
      </w:r>
      <w:bookmarkEnd w:id="106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IAS 17 – </w:t>
      </w:r>
      <w:r w:rsidRPr="00B47016">
        <w:rPr>
          <w:i/>
        </w:rPr>
        <w:t>Contrat de location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IFRS 16 – </w:t>
      </w:r>
      <w:r w:rsidRPr="00A604E7">
        <w:rPr>
          <w:i/>
        </w:rPr>
        <w:t>Contrats de location</w:t>
      </w:r>
      <w:r>
        <w:t>. Le texte remplacera IAS17.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15 – </w:t>
      </w:r>
      <w:r w:rsidRPr="00A604E7">
        <w:rPr>
          <w:i/>
        </w:rPr>
        <w:t>Avantages dans les contrats de location simple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27 – </w:t>
      </w:r>
      <w:r w:rsidRPr="00A604E7">
        <w:rPr>
          <w:i/>
        </w:rPr>
        <w:t>Évaluation de la substance des transactions prenant la forme juridique d'un contrat de location</w:t>
      </w:r>
      <w:r>
        <w:rPr>
          <w:i/>
        </w:rPr>
        <w:t>.</w:t>
      </w:r>
      <w:r>
        <w:t xml:space="preserve"> Le texte sera abrogé lors de l’adoption d’IFRS 16.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07" w:name="_Toc459896655"/>
      <w:r>
        <w:t>REJETS</w:t>
      </w:r>
      <w:r w:rsidR="0010605B">
        <w:t xml:space="preserve"> IFRIC </w:t>
      </w:r>
      <w:r>
        <w:t>LIES</w:t>
      </w:r>
      <w:bookmarkEnd w:id="10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08" w:name="_Toc459896656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08"/>
    </w:p>
    <w:p w:rsidR="002919AE" w:rsidRDefault="002919AE" w:rsidP="002919AE">
      <w:pPr>
        <w:pStyle w:val="CACCorps"/>
      </w:pPr>
    </w:p>
    <w:p w:rsidR="0010605B" w:rsidRDefault="0010605B" w:rsidP="0010605B">
      <w:pPr>
        <w:pStyle w:val="CACTitre3"/>
      </w:pPr>
      <w:bookmarkStart w:id="109" w:name="_Toc459896657"/>
      <w:r>
        <w:t>Recommandations AMF</w:t>
      </w:r>
      <w:bookmarkEnd w:id="10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10" w:name="_Toc459896658"/>
      <w:r>
        <w:t>Décisions ESMA</w:t>
      </w:r>
      <w:bookmarkEnd w:id="11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11" w:name="_Toc459896659"/>
      <w:r>
        <w:t>RAPPELS SUR L’INTERPRETATION</w:t>
      </w:r>
      <w:bookmarkEnd w:id="11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12" w:name="_Toc459896660"/>
      <w:r>
        <w:t>RESSOURCES MISES A DISPOSITION</w:t>
      </w:r>
      <w:bookmarkEnd w:id="112"/>
    </w:p>
    <w:p w:rsidR="0010605B" w:rsidRDefault="0010605B" w:rsidP="0010605B">
      <w:pPr>
        <w:pStyle w:val="CACCorps"/>
      </w:pPr>
    </w:p>
    <w:p w:rsidR="002919AE" w:rsidRDefault="002919AE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bookmarkStart w:id="113" w:name="_Toc459896661"/>
      <w:r>
        <w:t xml:space="preserve">SIC 15  – </w:t>
      </w:r>
      <w:r w:rsidRPr="00395AC6">
        <w:t>Avantages dans les contrats de location simple</w:t>
      </w:r>
      <w:bookmarkEnd w:id="113"/>
    </w:p>
    <w:p w:rsidR="002919AE" w:rsidRPr="00DD09B7" w:rsidRDefault="002919AE" w:rsidP="0010605B"/>
    <w:p w:rsidR="0010605B" w:rsidRDefault="002919AE" w:rsidP="002C736C">
      <w:pPr>
        <w:pStyle w:val="CACTitre2"/>
        <w:numPr>
          <w:ilvl w:val="1"/>
          <w:numId w:val="18"/>
        </w:numPr>
      </w:pPr>
      <w:bookmarkStart w:id="114" w:name="_Toc459896662"/>
      <w:r>
        <w:t>HISTORIQUE</w:t>
      </w:r>
      <w:bookmarkEnd w:id="114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15" w:name="_Toc459896663"/>
      <w:r>
        <w:t>Historique au niveau de l’Union européenne</w:t>
      </w:r>
      <w:bookmarkEnd w:id="115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2"/>
        <w:gridCol w:w="1368"/>
        <w:gridCol w:w="1259"/>
        <w:gridCol w:w="1304"/>
        <w:gridCol w:w="1235"/>
        <w:gridCol w:w="1280"/>
        <w:gridCol w:w="1197"/>
      </w:tblGrid>
      <w:tr w:rsidR="0010605B" w:rsidRPr="00395AC6" w:rsidTr="002919AE">
        <w:trPr>
          <w:cantSplit/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395AC6" w:rsidTr="002919AE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Avantages dans les contrats de location simple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395AC6" w:rsidTr="002919AE">
        <w:trPr>
          <w:cantSplit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16" w:name="_Toc459896664"/>
      <w:r>
        <w:t>Textes en cours d’adoption par la Communauté européenne</w:t>
      </w:r>
      <w:bookmarkEnd w:id="116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275"/>
        <w:gridCol w:w="1353"/>
        <w:gridCol w:w="1505"/>
        <w:gridCol w:w="1330"/>
        <w:gridCol w:w="1465"/>
        <w:gridCol w:w="1461"/>
      </w:tblGrid>
      <w:tr w:rsidR="0010605B" w:rsidRPr="003E70B3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3E70B3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3E70B3" w:rsidRDefault="0010605B" w:rsidP="0010605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Suite à l'adoption d'IFRS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13/01/2016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A déterminer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17" w:name="_Toc459896665"/>
      <w:r>
        <w:t>Textes en cours d’adoption par l’IASB</w:t>
      </w:r>
      <w:bookmarkEnd w:id="11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18" w:name="_Toc459896666"/>
      <w:r>
        <w:t>Projets IASB</w:t>
      </w:r>
      <w:bookmarkEnd w:id="11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19" w:name="_Toc459896667"/>
      <w:r>
        <w:t>NORMES ET INTERPRETATIONS LIEES</w:t>
      </w:r>
      <w:bookmarkEnd w:id="119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IAS 17 – </w:t>
      </w:r>
      <w:r w:rsidRPr="007000AC">
        <w:rPr>
          <w:i/>
        </w:rPr>
        <w:t>Contrats de location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IFRS 16 – </w:t>
      </w:r>
      <w:r w:rsidRPr="00A604E7">
        <w:rPr>
          <w:i/>
        </w:rPr>
        <w:t>Contrats de location</w:t>
      </w:r>
      <w:r>
        <w:t>. Le texte remplacera IAS17.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15 – </w:t>
      </w:r>
      <w:r w:rsidRPr="00A604E7">
        <w:rPr>
          <w:i/>
        </w:rPr>
        <w:t>Avantages dans les contrats de location simple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27 – </w:t>
      </w:r>
      <w:r w:rsidRPr="00A604E7">
        <w:rPr>
          <w:i/>
        </w:rPr>
        <w:t>Évaluation de la substance des transactions prenant la forme juridique d'un contrat de location</w:t>
      </w:r>
      <w:r>
        <w:rPr>
          <w:i/>
        </w:rPr>
        <w:t>.</w:t>
      </w:r>
      <w:r>
        <w:t xml:space="preserve"> Le texte sera abrogé lors de l’adoption d’IFRS 16.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20" w:name="_Toc459896668"/>
      <w:r>
        <w:t>REJETS</w:t>
      </w:r>
      <w:r w:rsidR="0010605B">
        <w:t xml:space="preserve"> IFRIC </w:t>
      </w:r>
      <w:r>
        <w:t>LIES</w:t>
      </w:r>
      <w:bookmarkEnd w:id="12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4E2378" w:rsidRDefault="004E2378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21" w:name="_Toc459896669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2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22" w:name="_Toc459896670"/>
      <w:r>
        <w:t>Recommandations AMF</w:t>
      </w:r>
      <w:bookmarkEnd w:id="12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23" w:name="_Toc459896671"/>
      <w:r>
        <w:t>Décisions ESMA</w:t>
      </w:r>
      <w:bookmarkEnd w:id="12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24" w:name="_Toc459896672"/>
      <w:r>
        <w:t>RAPPELS SUR L’INTERPRETATION</w:t>
      </w:r>
      <w:bookmarkEnd w:id="12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25" w:name="_Toc459896673"/>
      <w:r>
        <w:t>RESSOURCES MISES A DISPOSITION</w:t>
      </w:r>
      <w:bookmarkEnd w:id="12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bookmarkStart w:id="126" w:name="_Toc459896674"/>
      <w:r>
        <w:t xml:space="preserve">SIC 27 – </w:t>
      </w:r>
      <w:r w:rsidRPr="00DA204C">
        <w:t>Évaluation de la substance des transactions prenant la forme juridique d'un contrat de location</w:t>
      </w:r>
      <w:bookmarkEnd w:id="126"/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19"/>
        </w:numPr>
      </w:pPr>
      <w:bookmarkStart w:id="127" w:name="_Toc459896675"/>
      <w:r>
        <w:t>HISTORIQUE</w:t>
      </w:r>
      <w:bookmarkEnd w:id="127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28" w:name="_Toc459896676"/>
      <w:r>
        <w:t>Historique au niveau de l’Union européenne</w:t>
      </w:r>
      <w:bookmarkEnd w:id="128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779"/>
        <w:gridCol w:w="1214"/>
        <w:gridCol w:w="1213"/>
        <w:gridCol w:w="1197"/>
        <w:gridCol w:w="1196"/>
        <w:gridCol w:w="1146"/>
      </w:tblGrid>
      <w:tr w:rsidR="0010605B" w:rsidRPr="00DA204C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DA204C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Évaluation de la substance des transactions prenant la forme juridique d'un contrat de 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24/12/2001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31/12/2001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A204C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d'IAS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A204C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DA204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A204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29" w:name="_Toc459896677"/>
      <w:r>
        <w:t>Textes en cours d’adoption par la Communauté européenne</w:t>
      </w:r>
      <w:bookmarkEnd w:id="129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1275"/>
        <w:gridCol w:w="1353"/>
        <w:gridCol w:w="1505"/>
        <w:gridCol w:w="1330"/>
        <w:gridCol w:w="1465"/>
        <w:gridCol w:w="1461"/>
      </w:tblGrid>
      <w:tr w:rsidR="0010605B" w:rsidRPr="003E70B3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3E70B3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RETRAIT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3E70B3" w:rsidRDefault="0010605B" w:rsidP="0010605B">
            <w:pPr>
              <w:jc w:val="left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Suite à l'adoption d'IFRS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13/01/2016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A déterminer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01/01/2019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3E70B3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3E70B3">
              <w:rPr>
                <w:rFonts w:eastAsia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4E2378" w:rsidRDefault="004E2378" w:rsidP="0010605B">
      <w:pPr>
        <w:pStyle w:val="CACCorps"/>
      </w:pPr>
    </w:p>
    <w:p w:rsidR="004E2378" w:rsidRDefault="004E2378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30" w:name="_Toc459896678"/>
      <w:r>
        <w:t>Textes en cours d’adoption par l’IASB</w:t>
      </w:r>
      <w:bookmarkEnd w:id="13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31" w:name="_Toc459896679"/>
      <w:r>
        <w:t>Projets IASB</w:t>
      </w:r>
      <w:bookmarkEnd w:id="13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32" w:name="_Toc459896680"/>
      <w:r>
        <w:t>NORMES ET INTERPRETATIONS LIEES</w:t>
      </w:r>
      <w:bookmarkEnd w:id="132"/>
    </w:p>
    <w:p w:rsidR="0010605B" w:rsidRDefault="0010605B" w:rsidP="002919AE">
      <w:pPr>
        <w:pStyle w:val="CACCorps"/>
        <w:tabs>
          <w:tab w:val="left" w:pos="6978"/>
        </w:tabs>
      </w:pP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IAS 17 – </w:t>
      </w:r>
      <w:r w:rsidRPr="00DC2881">
        <w:rPr>
          <w:i/>
        </w:rPr>
        <w:t>Contrats de location</w:t>
      </w:r>
      <w:r>
        <w:t>. 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IFRS 16 – </w:t>
      </w:r>
      <w:r w:rsidRPr="00A604E7">
        <w:rPr>
          <w:i/>
        </w:rPr>
        <w:t>Contrats de location</w:t>
      </w:r>
      <w:r>
        <w:t>. Le texte remplacera IAS17.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IFRIC 4 – </w:t>
      </w:r>
      <w:r w:rsidRPr="00A604E7">
        <w:rPr>
          <w:i/>
        </w:rPr>
        <w:t>Déterminer si un accord contient</w:t>
      </w:r>
      <w:r>
        <w:rPr>
          <w:i/>
        </w:rPr>
        <w:t xml:space="preserve"> un contrat de location.</w:t>
      </w:r>
      <w:r w:rsidRPr="00A604E7">
        <w:t xml:space="preserve"> </w:t>
      </w:r>
      <w:r>
        <w:t>Le texte sera abrogé lors de l’adoption d’IFRS 16.</w:t>
      </w:r>
    </w:p>
    <w:p w:rsidR="0010605B" w:rsidRDefault="0010605B" w:rsidP="002C736C">
      <w:pPr>
        <w:pStyle w:val="CACCorps"/>
        <w:numPr>
          <w:ilvl w:val="0"/>
          <w:numId w:val="34"/>
        </w:numPr>
      </w:pPr>
      <w:r>
        <w:t xml:space="preserve">SIC 15 – </w:t>
      </w:r>
      <w:r w:rsidRPr="00A604E7">
        <w:rPr>
          <w:i/>
        </w:rPr>
        <w:t>Avantages dans les contrats de location simple</w:t>
      </w:r>
      <w:r>
        <w:t>. Le texte sera abrogé lors de l’adoption d’IFRS 16.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33" w:name="_Toc459896681"/>
      <w:r>
        <w:t>REJETS</w:t>
      </w:r>
      <w:r w:rsidR="0010605B">
        <w:t xml:space="preserve"> IFRIC </w:t>
      </w:r>
      <w:r>
        <w:t>LIES</w:t>
      </w:r>
      <w:bookmarkEnd w:id="13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34" w:name="_Toc459896682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34"/>
    </w:p>
    <w:p w:rsidR="002919AE" w:rsidRDefault="002919AE" w:rsidP="002919AE">
      <w:pPr>
        <w:pStyle w:val="CACCorps"/>
      </w:pPr>
    </w:p>
    <w:p w:rsidR="0010605B" w:rsidRDefault="0010605B" w:rsidP="0010605B">
      <w:pPr>
        <w:pStyle w:val="CACTitre3"/>
      </w:pPr>
      <w:bookmarkStart w:id="135" w:name="_Toc459896683"/>
      <w:r>
        <w:t>Recommandations AMF</w:t>
      </w:r>
      <w:bookmarkEnd w:id="13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36" w:name="_Toc459896684"/>
      <w:r>
        <w:t>Décisions ESMA</w:t>
      </w:r>
      <w:bookmarkEnd w:id="13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37" w:name="_Toc459896685"/>
      <w:r>
        <w:t>RAPPELS SUR L’INTERPRETATION</w:t>
      </w:r>
      <w:bookmarkEnd w:id="13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38" w:name="_Toc459896686"/>
      <w:r>
        <w:t>RESSOURCES MISES A DISPOSITION</w:t>
      </w:r>
      <w:bookmarkEnd w:id="138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20"/>
        </w:numPr>
        <w:contextualSpacing w:val="0"/>
      </w:pPr>
      <w:bookmarkStart w:id="139" w:name="_Toc459896687"/>
      <w:r>
        <w:t>IAS 2 – Stocks</w:t>
      </w:r>
      <w:bookmarkEnd w:id="139"/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21"/>
        </w:numPr>
      </w:pPr>
      <w:bookmarkStart w:id="140" w:name="_Toc459896688"/>
      <w:r>
        <w:t>HISTORIQUE</w:t>
      </w:r>
      <w:bookmarkEnd w:id="140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41" w:name="_Toc459896689"/>
      <w:r>
        <w:t>Historique au niveau de l’Union européenne</w:t>
      </w:r>
      <w:bookmarkEnd w:id="141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1472"/>
        <w:gridCol w:w="1293"/>
        <w:gridCol w:w="1372"/>
        <w:gridCol w:w="1263"/>
        <w:gridCol w:w="1342"/>
        <w:gridCol w:w="1234"/>
      </w:tblGrid>
      <w:tr w:rsidR="0010605B" w:rsidRPr="000B5F20" w:rsidTr="004E2378">
        <w:trPr>
          <w:cantSplit/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4E2378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Stocks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01/12/1993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4E2378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Stocks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4E2378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4E2378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42" w:name="_Toc459896690"/>
      <w:r>
        <w:t>Textes en cours d’adoption par la Communauté européenne</w:t>
      </w:r>
      <w:bookmarkEnd w:id="14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43" w:name="_Toc459896691"/>
      <w:r>
        <w:t>Textes en cours d’adoption par l’IASB</w:t>
      </w:r>
      <w:bookmarkEnd w:id="14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44" w:name="_Toc459896692"/>
      <w:r>
        <w:t>Projets IASB</w:t>
      </w:r>
      <w:bookmarkEnd w:id="14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45" w:name="_Toc459896693"/>
      <w:r>
        <w:t>NORMES ET INTERPRETATION LIEES</w:t>
      </w:r>
      <w:bookmarkEnd w:id="145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5"/>
        </w:numPr>
      </w:pPr>
      <w:r>
        <w:t>IFRIC 20 –</w:t>
      </w:r>
      <w:r w:rsidRPr="00DC2881">
        <w:rPr>
          <w:i/>
        </w:rPr>
        <w:t xml:space="preserve"> Frais de découverte engagés pendant la phase d'exploitation d'une mine à ciel ouvert</w:t>
      </w:r>
    </w:p>
    <w:p w:rsidR="0010605B" w:rsidRDefault="0010605B" w:rsidP="002C736C">
      <w:pPr>
        <w:pStyle w:val="CACCorps"/>
        <w:numPr>
          <w:ilvl w:val="0"/>
          <w:numId w:val="35"/>
        </w:numPr>
      </w:pPr>
      <w:r>
        <w:t xml:space="preserve">SIC 1 – </w:t>
      </w:r>
      <w:r w:rsidRPr="00DC2881">
        <w:rPr>
          <w:i/>
        </w:rPr>
        <w:t>Cohérence des méthodes - Différentes méthodes de détermination du coût des stocks</w:t>
      </w:r>
      <w:r>
        <w:t>. Le texte a été abrogé suite à la révision d’IAS 2</w:t>
      </w:r>
    </w:p>
    <w:p w:rsidR="0010605B" w:rsidRDefault="0010605B" w:rsidP="0010605B">
      <w:pPr>
        <w:pStyle w:val="CACCorps"/>
        <w:ind w:left="766"/>
      </w:pPr>
    </w:p>
    <w:p w:rsidR="0010605B" w:rsidRDefault="002919AE" w:rsidP="0010605B">
      <w:pPr>
        <w:pStyle w:val="CACTitre2"/>
      </w:pPr>
      <w:bookmarkStart w:id="146" w:name="_Toc459896694"/>
      <w:r>
        <w:t>REJETS</w:t>
      </w:r>
      <w:r w:rsidR="0010605B">
        <w:t xml:space="preserve"> IFRIC </w:t>
      </w:r>
      <w:r>
        <w:t>LIES</w:t>
      </w:r>
      <w:bookmarkEnd w:id="146"/>
    </w:p>
    <w:p w:rsidR="0010605B" w:rsidRDefault="0010605B" w:rsidP="0010605B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10605B" w:rsidRPr="00C05FD1" w:rsidTr="0010605B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10605B" w:rsidRPr="00C05FD1" w:rsidTr="0010605B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lang w:eastAsia="fr-FR"/>
              </w:rPr>
              <w:t>Demande de clarification sur la comptabilisation des contrats à long terme avec des fournisseurs de matières premières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lang w:eastAsia="fr-FR"/>
              </w:rPr>
              <w:t>14/07/2015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47" w:name="_Toc459896695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4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48" w:name="_Toc459896696"/>
      <w:r>
        <w:t>Recommandations AMF</w:t>
      </w:r>
      <w:bookmarkEnd w:id="148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3580"/>
        <w:gridCol w:w="1083"/>
        <w:gridCol w:w="1643"/>
        <w:gridCol w:w="1409"/>
      </w:tblGrid>
      <w:tr w:rsidR="0010605B" w:rsidRPr="00C05FD1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C05FD1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Prise en compte de la sous-activité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C05FD1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Adaptation des tests de perte de valeur au ralentissement économique observé dans certains</w:t>
            </w: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 xml:space="preserve">secteurs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4E2378" w:rsidRDefault="004E2378" w:rsidP="0010605B">
      <w:pPr>
        <w:pStyle w:val="CACCorps"/>
      </w:pPr>
    </w:p>
    <w:p w:rsidR="004E2378" w:rsidRDefault="004E2378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49" w:name="_Toc459896697"/>
      <w:r>
        <w:t>Décisions ESMA</w:t>
      </w:r>
      <w:bookmarkEnd w:id="149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961"/>
        <w:gridCol w:w="1263"/>
        <w:gridCol w:w="1667"/>
        <w:gridCol w:w="1505"/>
      </w:tblGrid>
      <w:tr w:rsidR="0010605B" w:rsidRPr="00C05FD1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C05FD1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Achats à terme et ventes d'actifs non financiers devant être réglés via une livraison physique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C05FD1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Taxe d'accise sur le carburant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05FD1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05FD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50" w:name="_Toc459896698"/>
      <w:r>
        <w:t>RAPPELS SUR LA NORME</w:t>
      </w:r>
      <w:bookmarkEnd w:id="15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51" w:name="_Toc459896699"/>
      <w:r>
        <w:t>RESSOURCES MISES A DISPOSITION</w:t>
      </w:r>
      <w:bookmarkEnd w:id="15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22"/>
        </w:numPr>
        <w:contextualSpacing w:val="0"/>
      </w:pPr>
      <w:bookmarkStart w:id="152" w:name="_Toc459896700"/>
      <w:r>
        <w:t>IFRS 5 – Actifs immobilisés détenus en vue de la vente et abandons d’activités</w:t>
      </w:r>
      <w:bookmarkEnd w:id="152"/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23"/>
        </w:numPr>
      </w:pPr>
      <w:bookmarkStart w:id="153" w:name="_Toc459896701"/>
      <w:r>
        <w:t>HISTORIQUE</w:t>
      </w:r>
      <w:bookmarkEnd w:id="153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54" w:name="_Toc459896702"/>
      <w:r>
        <w:t>Historique au niveau de l’Union européenne</w:t>
      </w:r>
      <w:bookmarkEnd w:id="154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1"/>
        <w:gridCol w:w="1980"/>
        <w:gridCol w:w="1193"/>
        <w:gridCol w:w="1171"/>
        <w:gridCol w:w="1180"/>
        <w:gridCol w:w="1157"/>
        <w:gridCol w:w="1123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Actifs non courants détenus en vue de la vente et activités abandonnées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plan de vente impliquant la perte de contrôle d’une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2007-2009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des actifs non courants classés comme détenus en vue de leur vente ou comme activité abandonnée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16/04/2009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23/03/2010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2012-2014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modifications à un plan de vente ou à un plan de distribution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15/12/2015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55" w:name="_Toc459896703"/>
      <w:r>
        <w:t>Textes en cours d’adoption par la Communauté européenne</w:t>
      </w:r>
      <w:bookmarkEnd w:id="15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56" w:name="_Toc459896704"/>
      <w:r>
        <w:t>Textes en cours d’adoption par l’IASB</w:t>
      </w:r>
      <w:bookmarkEnd w:id="15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57" w:name="_Toc459896705"/>
      <w:r>
        <w:t>Projets IASB</w:t>
      </w:r>
      <w:bookmarkEnd w:id="15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58" w:name="_Toc459896706"/>
      <w:r>
        <w:t>NORMES ET INTERPRETATIONS LIEES</w:t>
      </w:r>
      <w:bookmarkEnd w:id="15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 spécifiquement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59" w:name="_Toc459896707"/>
      <w:r>
        <w:t>REJETS</w:t>
      </w:r>
      <w:r w:rsidR="0010605B">
        <w:t xml:space="preserve"> IFRIC </w:t>
      </w:r>
      <w:r>
        <w:t>LIES</w:t>
      </w:r>
      <w:bookmarkEnd w:id="159"/>
    </w:p>
    <w:p w:rsidR="0010605B" w:rsidRDefault="0010605B" w:rsidP="0010605B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10605B" w:rsidRPr="00D3415D" w:rsidTr="0010605B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10605B" w:rsidRPr="00D3415D" w:rsidTr="0010605B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Classement selon IFRS 5 en conjonction à une introduction en bourse mais où le prospectus n'a pas encore été approuvé par les instances de régulation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10/09/2013</w:t>
            </w:r>
          </w:p>
        </w:tc>
      </w:tr>
      <w:tr w:rsidR="0010605B" w:rsidRPr="00D3415D" w:rsidTr="0010605B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Sujets relatifs aux obligations sur le champ d'application, l'évaluation, la présentation et les informations à fournir selon IFRS 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  <w:tr w:rsidR="0010605B" w:rsidRPr="00D3415D" w:rsidTr="0010605B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Reprise de perte de valeur relative à l'écart d'acquisition reconnu pour un groupe cédé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  <w:tr w:rsidR="0010605B" w:rsidRPr="00D3415D" w:rsidTr="0010605B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Dépréci</w:t>
            </w:r>
            <w:r>
              <w:rPr>
                <w:rFonts w:eastAsia="Times New Roman" w:cs="Times New Roman"/>
                <w:color w:val="000000"/>
                <w:lang w:eastAsia="fr-FR"/>
              </w:rPr>
              <w:t>a</w:t>
            </w:r>
            <w:r w:rsidRPr="00D3415D">
              <w:rPr>
                <w:rFonts w:eastAsia="Times New Roman" w:cs="Times New Roman"/>
                <w:color w:val="000000"/>
                <w:lang w:eastAsia="fr-FR"/>
              </w:rPr>
              <w:t>tion d'un groupe cédé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60" w:name="_Toc459896708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6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61" w:name="_Toc459896709"/>
      <w:r>
        <w:t>Recommandations AMF</w:t>
      </w:r>
      <w:bookmarkEnd w:id="161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276"/>
        <w:gridCol w:w="1140"/>
        <w:gridCol w:w="1778"/>
        <w:gridCol w:w="1522"/>
      </w:tblGrid>
      <w:tr w:rsidR="0010605B" w:rsidRPr="00D3415D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d’actifs non courants comme détenus en vue de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Activités abandonnées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Évaluation des actifs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Élimination des soldes et des opérations intra-groupe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Prolongation de la période requise pour conclure la vente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Informations à présenter dans les annexes aux comptes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4E2378" w:rsidRDefault="004E2378" w:rsidP="0010605B">
      <w:pPr>
        <w:pStyle w:val="CACCorps"/>
      </w:pPr>
    </w:p>
    <w:p w:rsidR="004E2378" w:rsidRDefault="004E2378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62" w:name="_Toc459896710"/>
      <w:r>
        <w:t>Décisions ESMA</w:t>
      </w:r>
      <w:bookmarkEnd w:id="162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387"/>
        <w:gridCol w:w="1228"/>
        <w:gridCol w:w="1432"/>
        <w:gridCol w:w="1349"/>
      </w:tblGrid>
      <w:tr w:rsidR="0010605B" w:rsidRPr="00D3415D" w:rsidTr="002919AE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Informations à fournir de l'effet des activités abandonnées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Capital et contrôle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Détermination de la juste valeur diminué du coût des ventes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d'une filiale destinée à être vendue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Vente de licences individuelles présentées comme activités abandonnées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au compte de résultat des effets d’une clause de complément de prix liée à la cession de filiales qualifiées d’activités abandonnées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Critères de présentation des actifs non courants selon IFRS 5 lorsque des incertitudes sur la cession subsistent à la date de clôture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Reconnaissance d’actifs d'impôts différés liée à une moins-value attendue sur la cession d’une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d’activités sous licence en activités abandonnées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et informations à fournir sur les activités abandonnées dans les états financiers individuels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63" w:name="_Toc459896711"/>
      <w:r>
        <w:t>RAPPELS SUR LA NORME</w:t>
      </w:r>
      <w:bookmarkEnd w:id="16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64" w:name="_Toc459896712"/>
      <w:r>
        <w:t>RESSOURCES MISES A DISPOSITION</w:t>
      </w:r>
      <w:bookmarkEnd w:id="164"/>
    </w:p>
    <w:p w:rsidR="0010605B" w:rsidRDefault="0010605B" w:rsidP="0010605B">
      <w:pPr>
        <w:pStyle w:val="CACCorps"/>
      </w:pPr>
    </w:p>
    <w:p w:rsidR="009C2044" w:rsidRDefault="00100780" w:rsidP="00670F63">
      <w:pPr>
        <w:pStyle w:val="CACCorps"/>
        <w:numPr>
          <w:ilvl w:val="0"/>
          <w:numId w:val="40"/>
        </w:numPr>
      </w:pPr>
      <w:hyperlink r:id="rId18" w:history="1">
        <w:r w:rsidR="009C2044" w:rsidRPr="009C2044">
          <w:rPr>
            <w:rStyle w:val="Lienhypertexte"/>
          </w:rPr>
          <w:t>QFB40.X001</w:t>
        </w:r>
      </w:hyperlink>
      <w:r w:rsidR="00670F63">
        <w:t xml:space="preserve"> - Questionnaire sur les actifs destinés à la vente (IFRS 5)</w:t>
      </w:r>
    </w:p>
    <w:p w:rsidR="00670F63" w:rsidRDefault="00670F63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24"/>
        </w:numPr>
        <w:contextualSpacing w:val="0"/>
      </w:pPr>
      <w:bookmarkStart w:id="165" w:name="_Toc459896713"/>
      <w:r>
        <w:t>IAS 23 – Coûts d’emprunts</w:t>
      </w:r>
      <w:bookmarkEnd w:id="165"/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25"/>
        </w:numPr>
      </w:pPr>
      <w:bookmarkStart w:id="166" w:name="_Toc459896714"/>
      <w:r>
        <w:t>HISTORIQUE</w:t>
      </w:r>
      <w:bookmarkEnd w:id="166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67" w:name="_Toc459896715"/>
      <w:r>
        <w:t>Historique au niveau de l’Union européenne</w:t>
      </w:r>
      <w:bookmarkEnd w:id="167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3272"/>
        <w:gridCol w:w="1016"/>
        <w:gridCol w:w="922"/>
        <w:gridCol w:w="1016"/>
        <w:gridCol w:w="922"/>
        <w:gridCol w:w="945"/>
      </w:tblGrid>
      <w:tr w:rsidR="0010605B" w:rsidRPr="000B5F20" w:rsidTr="004E2378">
        <w:trPr>
          <w:cantSplit/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4E2378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Coûts d'emprunt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01/12/1993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4E2378">
        <w:trPr>
          <w:cantSplit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10605B" w:rsidRPr="000B5F20" w:rsidTr="004E2378">
        <w:trPr>
          <w:cantSplit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Obligation d'incorporation des coûts d'emprunt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4E2378">
        <w:trPr>
          <w:cantSplit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Composantes des coûts d'emprunts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68" w:name="_Toc459896716"/>
      <w:r>
        <w:t>Textes en cours d’adoption par la Communauté européenne</w:t>
      </w:r>
      <w:bookmarkEnd w:id="16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69" w:name="_Toc459896717"/>
      <w:r>
        <w:t>Textes en cours d’adoption par l’IASB</w:t>
      </w:r>
      <w:bookmarkEnd w:id="16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2919AE" w:rsidRDefault="002919AE" w:rsidP="0010605B">
      <w:pPr>
        <w:pStyle w:val="CACCorps"/>
      </w:pPr>
    </w:p>
    <w:p w:rsidR="0010605B" w:rsidRDefault="0010605B" w:rsidP="0010605B">
      <w:pPr>
        <w:pStyle w:val="CACTitre3"/>
      </w:pPr>
      <w:bookmarkStart w:id="170" w:name="_Toc459896718"/>
      <w:r>
        <w:t>Projets IASB</w:t>
      </w:r>
      <w:bookmarkEnd w:id="17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71" w:name="_Toc459896719"/>
      <w:r>
        <w:t>NORMES ET INTERPRETATIONS LIEES</w:t>
      </w:r>
      <w:bookmarkEnd w:id="171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SIC 2 - </w:t>
      </w:r>
      <w:r w:rsidRPr="00D3415D">
        <w:rPr>
          <w:i/>
        </w:rPr>
        <w:t>Cohérence des méthodes - Incorporation des coûts d'emprunts dans le coût des actifs</w:t>
      </w:r>
      <w:r>
        <w:t>. Le texte a été abrogé suite à la révision d’IAS 8.</w:t>
      </w:r>
    </w:p>
    <w:p w:rsidR="0010605B" w:rsidRPr="002919AE" w:rsidRDefault="0010605B" w:rsidP="002919AE">
      <w:pPr>
        <w:pStyle w:val="CACCorps"/>
      </w:pPr>
    </w:p>
    <w:p w:rsidR="0010605B" w:rsidRDefault="002919AE" w:rsidP="0010605B">
      <w:pPr>
        <w:pStyle w:val="CACTitre2"/>
      </w:pPr>
      <w:bookmarkStart w:id="172" w:name="_Toc459896720"/>
      <w:r>
        <w:t>REJETS</w:t>
      </w:r>
      <w:r w:rsidR="0010605B">
        <w:t xml:space="preserve"> IFRIC </w:t>
      </w:r>
      <w:r>
        <w:t>LIES</w:t>
      </w:r>
      <w:bookmarkEnd w:id="17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73" w:name="_Toc459896721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73"/>
    </w:p>
    <w:p w:rsidR="002919AE" w:rsidRDefault="002919AE" w:rsidP="002919AE">
      <w:pPr>
        <w:pStyle w:val="CACCorps"/>
      </w:pPr>
    </w:p>
    <w:p w:rsidR="0010605B" w:rsidRDefault="0010605B" w:rsidP="0010605B">
      <w:pPr>
        <w:pStyle w:val="CACTitre3"/>
      </w:pPr>
      <w:bookmarkStart w:id="174" w:name="_Toc459896722"/>
      <w:r>
        <w:t>Recommandations AMF</w:t>
      </w:r>
      <w:bookmarkEnd w:id="174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2825"/>
        <w:gridCol w:w="1223"/>
        <w:gridCol w:w="1978"/>
        <w:gridCol w:w="1690"/>
      </w:tblGrid>
      <w:tr w:rsidR="0010605B" w:rsidRPr="00D3415D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D3415D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 suite à la révision d'IAS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75" w:name="_Toc459896723"/>
      <w:r>
        <w:t>Décisions ESMA</w:t>
      </w:r>
      <w:bookmarkEnd w:id="175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926"/>
        <w:gridCol w:w="1265"/>
        <w:gridCol w:w="1686"/>
        <w:gridCol w:w="1519"/>
      </w:tblGrid>
      <w:tr w:rsidR="0010605B" w:rsidRPr="00D3415D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D3415D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Capitalisation des coûts d'emprunts liés à des constructions en attente d'approbation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D3415D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D3415D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76" w:name="_Toc459896724"/>
      <w:r>
        <w:t>RAPPELS SUR LA NORME</w:t>
      </w:r>
      <w:bookmarkEnd w:id="17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77" w:name="_Toc459896725"/>
      <w:r>
        <w:t>RESSOURCES MISES A DISPOSITION</w:t>
      </w:r>
      <w:bookmarkEnd w:id="177"/>
    </w:p>
    <w:p w:rsidR="0010605B" w:rsidRDefault="0010605B" w:rsidP="0010605B">
      <w:pPr>
        <w:pStyle w:val="CACCorps"/>
      </w:pPr>
    </w:p>
    <w:p w:rsidR="00A909D9" w:rsidRDefault="00100780" w:rsidP="00670F63">
      <w:pPr>
        <w:pStyle w:val="CACCorps"/>
        <w:numPr>
          <w:ilvl w:val="0"/>
          <w:numId w:val="40"/>
        </w:numPr>
      </w:pPr>
      <w:hyperlink r:id="rId19" w:history="1">
        <w:r w:rsidR="00A909D9" w:rsidRPr="00A909D9">
          <w:rPr>
            <w:rStyle w:val="Lienhypertexte"/>
          </w:rPr>
          <w:t>QFB45.X001</w:t>
        </w:r>
      </w:hyperlink>
      <w:r w:rsidR="00670F63">
        <w:t xml:space="preserve"> - Tableau de capitalisation des coûts d’emprunt (IAS 23)</w:t>
      </w:r>
    </w:p>
    <w:p w:rsidR="00670F63" w:rsidRDefault="00670F63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26"/>
        </w:numPr>
        <w:contextualSpacing w:val="0"/>
      </w:pPr>
      <w:bookmarkStart w:id="178" w:name="_Toc459896726"/>
      <w:r>
        <w:t>IAS 20 – Subventions publiques</w:t>
      </w:r>
      <w:bookmarkEnd w:id="178"/>
    </w:p>
    <w:p w:rsidR="0010605B" w:rsidRPr="00DD09B7" w:rsidRDefault="0010605B" w:rsidP="0010605B"/>
    <w:p w:rsidR="0010605B" w:rsidRDefault="002919AE" w:rsidP="002C736C">
      <w:pPr>
        <w:pStyle w:val="CACTitre2"/>
        <w:numPr>
          <w:ilvl w:val="1"/>
          <w:numId w:val="27"/>
        </w:numPr>
      </w:pPr>
      <w:bookmarkStart w:id="179" w:name="_Toc459896727"/>
      <w:r>
        <w:t>HISTORIQUE</w:t>
      </w:r>
      <w:bookmarkEnd w:id="179"/>
    </w:p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80" w:name="_Toc459896728"/>
      <w:r>
        <w:t>Historique au niveau de l’Union européenne</w:t>
      </w:r>
      <w:bookmarkEnd w:id="180"/>
    </w:p>
    <w:p w:rsidR="0010605B" w:rsidRDefault="0010605B" w:rsidP="002919AE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926"/>
        <w:gridCol w:w="1199"/>
        <w:gridCol w:w="1183"/>
        <w:gridCol w:w="1185"/>
        <w:gridCol w:w="1168"/>
        <w:gridCol w:w="1130"/>
      </w:tblGrid>
      <w:tr w:rsidR="0010605B" w:rsidRPr="000B5F20" w:rsidTr="002919AE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subventions publiques et informations à fournir sur l'aide publique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01/04/1983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Subventions publiques à un taux d'intérêt inférieur à celui du marché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Suite à l'amendement d'IAS 1 Présentation des autres éléments du résultat global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05/06/2012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2919AE">
      <w:pPr>
        <w:pStyle w:val="CACCorps"/>
      </w:pPr>
    </w:p>
    <w:p w:rsidR="0010605B" w:rsidRDefault="0010605B" w:rsidP="0010605B">
      <w:pPr>
        <w:pStyle w:val="CACTitre3"/>
      </w:pPr>
      <w:bookmarkStart w:id="181" w:name="_Toc459896729"/>
      <w:r>
        <w:t>Textes en cours d’adoption par la Communauté européenne</w:t>
      </w:r>
      <w:bookmarkEnd w:id="18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82" w:name="_Toc459896730"/>
      <w:r>
        <w:t>Textes en cours d’adoption par l’IASB</w:t>
      </w:r>
      <w:bookmarkEnd w:id="18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83" w:name="_Toc459896731"/>
      <w:r>
        <w:t>Projets IASB</w:t>
      </w:r>
      <w:bookmarkEnd w:id="18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84" w:name="_Toc459896732"/>
      <w:r>
        <w:t>NORMES ET INTERPRETATIONS LIEES</w:t>
      </w:r>
      <w:bookmarkEnd w:id="184"/>
    </w:p>
    <w:p w:rsidR="0010605B" w:rsidRDefault="0010605B" w:rsidP="0010605B">
      <w:pPr>
        <w:pStyle w:val="CACCorps"/>
      </w:pPr>
    </w:p>
    <w:p w:rsidR="0010605B" w:rsidRPr="00CB67CC" w:rsidRDefault="0010605B" w:rsidP="002C736C">
      <w:pPr>
        <w:pStyle w:val="CACCorps"/>
        <w:numPr>
          <w:ilvl w:val="0"/>
          <w:numId w:val="36"/>
        </w:numPr>
        <w:rPr>
          <w:i/>
        </w:rPr>
      </w:pPr>
      <w:r>
        <w:t xml:space="preserve">SIC 10 – </w:t>
      </w:r>
      <w:r w:rsidRPr="00CB67CC">
        <w:rPr>
          <w:i/>
        </w:rPr>
        <w:t xml:space="preserve">Aide publique – Absence de relation spécifique avec des activités opérationnelles 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85" w:name="_Toc459896733"/>
      <w:r>
        <w:t>REJETS</w:t>
      </w:r>
      <w:r w:rsidR="0010605B">
        <w:t xml:space="preserve"> IFRIC </w:t>
      </w:r>
      <w:r>
        <w:t>LIES</w:t>
      </w:r>
      <w:bookmarkEnd w:id="18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2919AE" w:rsidP="0010605B">
      <w:pPr>
        <w:pStyle w:val="CACTitre2"/>
      </w:pPr>
      <w:bookmarkStart w:id="186" w:name="_Toc459896734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86"/>
    </w:p>
    <w:p w:rsidR="002919AE" w:rsidRDefault="002919AE" w:rsidP="002919AE">
      <w:pPr>
        <w:pStyle w:val="CACCorps"/>
      </w:pPr>
    </w:p>
    <w:p w:rsidR="0010605B" w:rsidRDefault="0010605B" w:rsidP="0010605B">
      <w:pPr>
        <w:pStyle w:val="CACTitre3"/>
      </w:pPr>
      <w:bookmarkStart w:id="187" w:name="_Toc459896735"/>
      <w:r>
        <w:t>Recommandations AMF</w:t>
      </w:r>
      <w:bookmarkEnd w:id="18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88" w:name="_Toc459896736"/>
      <w:r>
        <w:t>Décisions ESMA</w:t>
      </w:r>
      <w:bookmarkEnd w:id="188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2890"/>
        <w:gridCol w:w="1346"/>
        <w:gridCol w:w="2243"/>
        <w:gridCol w:w="1917"/>
      </w:tblGrid>
      <w:tr w:rsidR="0010605B" w:rsidRPr="00CB67CC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CB67CC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B67CC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subventions publiques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EECS/0111-04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CB67CC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CB67C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89" w:name="_Toc459896737"/>
      <w:r>
        <w:t>RAPPELS SUR LA NORME</w:t>
      </w:r>
      <w:bookmarkEnd w:id="18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90" w:name="_Toc459896738"/>
      <w:r>
        <w:t>RESSOURCES MISES A DISPOSITION</w:t>
      </w:r>
      <w:bookmarkEnd w:id="19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6"/>
        </w:numPr>
        <w:contextualSpacing w:val="0"/>
      </w:pPr>
      <w:bookmarkStart w:id="191" w:name="_Toc459896739"/>
      <w:r>
        <w:t xml:space="preserve">SIC 10  – </w:t>
      </w:r>
      <w:r w:rsidRPr="00395AC6">
        <w:t>Aide publique - Absence de relation spécifique avec des activités opérationnelles</w:t>
      </w:r>
      <w:bookmarkEnd w:id="191"/>
    </w:p>
    <w:p w:rsidR="0010605B" w:rsidRPr="00DD09B7" w:rsidRDefault="0010605B" w:rsidP="0010605B"/>
    <w:p w:rsidR="0010605B" w:rsidRDefault="00AB3731" w:rsidP="002C736C">
      <w:pPr>
        <w:pStyle w:val="CACTitre2"/>
        <w:numPr>
          <w:ilvl w:val="1"/>
          <w:numId w:val="28"/>
        </w:numPr>
      </w:pPr>
      <w:bookmarkStart w:id="192" w:name="_Toc459896740"/>
      <w:r>
        <w:t>HISTORIQUE</w:t>
      </w:r>
      <w:bookmarkEnd w:id="192"/>
    </w:p>
    <w:p w:rsidR="0010605B" w:rsidRDefault="0010605B" w:rsidP="00AB3731">
      <w:pPr>
        <w:pStyle w:val="CACCorps"/>
      </w:pPr>
    </w:p>
    <w:p w:rsidR="0010605B" w:rsidRDefault="0010605B" w:rsidP="0010605B">
      <w:pPr>
        <w:pStyle w:val="CACTitre3"/>
      </w:pPr>
      <w:bookmarkStart w:id="193" w:name="_Toc459896741"/>
      <w:r>
        <w:t>Historique au niveau de l’Union européenne</w:t>
      </w:r>
      <w:bookmarkEnd w:id="193"/>
    </w:p>
    <w:p w:rsidR="0010605B" w:rsidRDefault="0010605B" w:rsidP="00AB373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834"/>
        <w:gridCol w:w="1208"/>
        <w:gridCol w:w="1201"/>
        <w:gridCol w:w="1192"/>
        <w:gridCol w:w="1185"/>
        <w:gridCol w:w="1140"/>
      </w:tblGrid>
      <w:tr w:rsidR="0010605B" w:rsidRPr="00395AC6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395AC6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Aide publique - Absence de relation spécifique avec des activités opérationnelles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01/08/1998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395AC6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395AC6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395AC6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AB3731">
      <w:pPr>
        <w:pStyle w:val="CACCorps"/>
      </w:pPr>
    </w:p>
    <w:p w:rsidR="0010605B" w:rsidRDefault="0010605B" w:rsidP="0010605B">
      <w:pPr>
        <w:pStyle w:val="CACTitre3"/>
      </w:pPr>
      <w:bookmarkStart w:id="194" w:name="_Toc459896742"/>
      <w:r>
        <w:t>Textes en cours d’adoption par la Communauté européenne</w:t>
      </w:r>
      <w:bookmarkEnd w:id="19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195" w:name="_Toc459896743"/>
      <w:r>
        <w:t>Textes en cours d’adoption par l’IASB</w:t>
      </w:r>
      <w:bookmarkEnd w:id="19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196" w:name="_Toc459896744"/>
      <w:r>
        <w:t>Projets IASB</w:t>
      </w:r>
      <w:bookmarkEnd w:id="19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97" w:name="_Toc459896745"/>
      <w:r>
        <w:t>NORMES ET INTERPRETATION LIEES</w:t>
      </w:r>
      <w:bookmarkEnd w:id="197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20 – </w:t>
      </w:r>
      <w:r w:rsidRPr="00CB67CC">
        <w:rPr>
          <w:i/>
        </w:rPr>
        <w:t>Subventions publiques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98" w:name="_Toc459896746"/>
      <w:r>
        <w:t>REJETS</w:t>
      </w:r>
      <w:r w:rsidR="0010605B">
        <w:t xml:space="preserve"> IFRIC </w:t>
      </w:r>
      <w:r>
        <w:t>LIES</w:t>
      </w:r>
      <w:bookmarkEnd w:id="198"/>
    </w:p>
    <w:p w:rsidR="00AB3731" w:rsidRDefault="00AB3731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199" w:name="_Toc459896747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19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00" w:name="_Toc459896748"/>
      <w:r>
        <w:t>Recommandations AMF</w:t>
      </w:r>
      <w:bookmarkEnd w:id="20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Titre3"/>
      </w:pPr>
      <w:bookmarkStart w:id="201" w:name="_Toc459896749"/>
      <w:r>
        <w:t>Décisions ESMA</w:t>
      </w:r>
      <w:bookmarkEnd w:id="20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02" w:name="_Toc459896750"/>
      <w:r>
        <w:t>RAPPELS SUR L’INTERPRETATION</w:t>
      </w:r>
      <w:bookmarkEnd w:id="20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03" w:name="_Toc459896751"/>
      <w:r>
        <w:t>RESSOURCES MISES A DISPOSITION</w:t>
      </w:r>
      <w:bookmarkEnd w:id="203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29"/>
        </w:numPr>
        <w:contextualSpacing w:val="0"/>
      </w:pPr>
      <w:r>
        <w:t xml:space="preserve"> </w:t>
      </w:r>
      <w:bookmarkStart w:id="204" w:name="_Toc459896752"/>
      <w:r>
        <w:t>IFRIC 12 – Accords de concessions de services</w:t>
      </w:r>
      <w:bookmarkEnd w:id="204"/>
    </w:p>
    <w:p w:rsidR="0010605B" w:rsidRPr="00DD09B7" w:rsidRDefault="0010605B" w:rsidP="0010605B"/>
    <w:p w:rsidR="0010605B" w:rsidRDefault="00AB3731" w:rsidP="002C736C">
      <w:pPr>
        <w:pStyle w:val="CACTitre2"/>
        <w:numPr>
          <w:ilvl w:val="1"/>
          <w:numId w:val="30"/>
        </w:numPr>
      </w:pPr>
      <w:bookmarkStart w:id="205" w:name="_Toc459896753"/>
      <w:r>
        <w:t>HISTORIQUE</w:t>
      </w:r>
      <w:bookmarkEnd w:id="205"/>
    </w:p>
    <w:p w:rsidR="0010605B" w:rsidRDefault="0010605B" w:rsidP="00AB3731">
      <w:pPr>
        <w:pStyle w:val="CACCorps"/>
      </w:pPr>
    </w:p>
    <w:p w:rsidR="0010605B" w:rsidRDefault="0010605B" w:rsidP="0010605B">
      <w:pPr>
        <w:pStyle w:val="CACTitre3"/>
      </w:pPr>
      <w:bookmarkStart w:id="206" w:name="_Toc459896754"/>
      <w:r>
        <w:t>Historique au niveau de l’Union européenne</w:t>
      </w:r>
      <w:bookmarkEnd w:id="206"/>
    </w:p>
    <w:p w:rsidR="0010605B" w:rsidRDefault="0010605B" w:rsidP="0010605B">
      <w:pPr>
        <w:pStyle w:val="CACTitre3"/>
        <w:numPr>
          <w:ilvl w:val="0"/>
          <w:numId w:val="0"/>
        </w:num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349"/>
        <w:gridCol w:w="1311"/>
        <w:gridCol w:w="1409"/>
        <w:gridCol w:w="1278"/>
        <w:gridCol w:w="1376"/>
        <w:gridCol w:w="1254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Accords de concession de services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25/03/2009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29/03/2009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AB3731">
      <w:pPr>
        <w:pStyle w:val="CACCorps"/>
      </w:pPr>
    </w:p>
    <w:p w:rsidR="0010605B" w:rsidRDefault="0010605B" w:rsidP="0010605B">
      <w:pPr>
        <w:pStyle w:val="CACTitre3"/>
      </w:pPr>
      <w:bookmarkStart w:id="207" w:name="_Toc459896755"/>
      <w:r>
        <w:t>Textes en cours d’adoption par la Communauté européenne</w:t>
      </w:r>
      <w:bookmarkEnd w:id="207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08" w:name="_Toc459896756"/>
      <w:r>
        <w:t>Textes en cours d’adoption par l’IASB</w:t>
      </w:r>
      <w:bookmarkEnd w:id="20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4E2378" w:rsidRDefault="004E2378">
      <w:pPr>
        <w:jc w:val="left"/>
      </w:pPr>
      <w:r>
        <w:br w:type="page"/>
      </w:r>
    </w:p>
    <w:p w:rsidR="004E2378" w:rsidRDefault="004E2378" w:rsidP="0010605B">
      <w:pPr>
        <w:pStyle w:val="CACCorps"/>
      </w:pPr>
    </w:p>
    <w:p w:rsidR="0010605B" w:rsidRDefault="0010605B" w:rsidP="0010605B">
      <w:pPr>
        <w:pStyle w:val="CACTitre3"/>
      </w:pPr>
      <w:bookmarkStart w:id="209" w:name="_Toc459896757"/>
      <w:r>
        <w:t>Projets IASB</w:t>
      </w:r>
      <w:bookmarkEnd w:id="20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10" w:name="_Toc459896758"/>
      <w:r>
        <w:t>NORMES ET INTERPRETATIONS LIEES</w:t>
      </w:r>
      <w:bookmarkEnd w:id="210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IFRS 1 – </w:t>
      </w:r>
      <w:r w:rsidRPr="0012041F">
        <w:rPr>
          <w:i/>
        </w:rPr>
        <w:t>Première adoption des normes internationales d'information financière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IFRS 7 – </w:t>
      </w:r>
      <w:r w:rsidRPr="0012041F">
        <w:rPr>
          <w:i/>
        </w:rPr>
        <w:t>Instruments financiers : informations à fournir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IFRS 9 – </w:t>
      </w:r>
      <w:r w:rsidRPr="0012041F">
        <w:rPr>
          <w:i/>
        </w:rPr>
        <w:t>Instruments financiers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IFRS 15 – </w:t>
      </w:r>
      <w:r w:rsidRPr="0012041F">
        <w:rPr>
          <w:i/>
        </w:rPr>
        <w:t>Produits des activités ordinaires tirés de contrats avec des clients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IFRS 16 - </w:t>
      </w:r>
      <w:r w:rsidRPr="0012041F">
        <w:rPr>
          <w:i/>
        </w:rPr>
        <w:t>Contrats de location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8 – </w:t>
      </w:r>
      <w:r w:rsidRPr="0012041F">
        <w:rPr>
          <w:i/>
        </w:rPr>
        <w:t>Méthodes comptables, changements d'estimations comptables et erreurs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11 – </w:t>
      </w:r>
      <w:r w:rsidRPr="0012041F">
        <w:rPr>
          <w:i/>
        </w:rPr>
        <w:t>Contrats de construction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16 – </w:t>
      </w:r>
      <w:r w:rsidRPr="0012041F">
        <w:rPr>
          <w:i/>
        </w:rPr>
        <w:t>Immobilisations corporelles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17 – </w:t>
      </w:r>
      <w:r w:rsidRPr="0012041F">
        <w:rPr>
          <w:i/>
        </w:rPr>
        <w:t>Contrats de location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18 – </w:t>
      </w:r>
      <w:r w:rsidRPr="0012041F">
        <w:rPr>
          <w:i/>
        </w:rPr>
        <w:t>Produits des activités ordinaires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20 – </w:t>
      </w:r>
      <w:r w:rsidRPr="0012041F">
        <w:rPr>
          <w:i/>
        </w:rPr>
        <w:t>Comptabilisation des subventions publiques et informations à fournir sur l'aide publique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23 – </w:t>
      </w:r>
      <w:r w:rsidRPr="0012041F">
        <w:rPr>
          <w:i/>
        </w:rPr>
        <w:t>Coûts d'emprunt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32 – </w:t>
      </w:r>
      <w:r w:rsidRPr="0012041F">
        <w:rPr>
          <w:i/>
        </w:rPr>
        <w:t>Instruments financiers - Présentation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36 – </w:t>
      </w:r>
      <w:r w:rsidRPr="0012041F">
        <w:rPr>
          <w:i/>
        </w:rPr>
        <w:t>Dépréciation d'actifs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37 – </w:t>
      </w:r>
      <w:r w:rsidRPr="0012041F">
        <w:rPr>
          <w:i/>
        </w:rPr>
        <w:t>Provisions, passifs éventuels et actifs éventuels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38 – </w:t>
      </w:r>
      <w:r w:rsidRPr="0012041F">
        <w:rPr>
          <w:i/>
        </w:rPr>
        <w:t>Immobilisations incorporelles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IAS 39 – </w:t>
      </w:r>
      <w:r w:rsidRPr="0012041F">
        <w:rPr>
          <w:i/>
        </w:rPr>
        <w:t>Instruments financiers - comptabilisation et évaluation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IFRIC 4 – </w:t>
      </w:r>
      <w:r w:rsidRPr="0012041F">
        <w:rPr>
          <w:i/>
        </w:rPr>
        <w:t>Déterminer si un accord contient un contrat de location</w:t>
      </w:r>
    </w:p>
    <w:p w:rsidR="0010605B" w:rsidRDefault="0010605B" w:rsidP="002C736C">
      <w:pPr>
        <w:pStyle w:val="CACCorps"/>
        <w:numPr>
          <w:ilvl w:val="0"/>
          <w:numId w:val="36"/>
        </w:numPr>
      </w:pPr>
      <w:r>
        <w:t xml:space="preserve">SIC 29 - </w:t>
      </w:r>
      <w:r w:rsidRPr="0012041F">
        <w:rPr>
          <w:i/>
        </w:rPr>
        <w:t>Accords de concession de services – Informations à fournir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11" w:name="_Toc459896759"/>
      <w:r>
        <w:t>REJETS</w:t>
      </w:r>
      <w:r w:rsidR="0010605B">
        <w:t xml:space="preserve"> IFRIC </w:t>
      </w:r>
      <w:r>
        <w:t>LIES</w:t>
      </w:r>
      <w:bookmarkEnd w:id="21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12" w:name="_Toc459896760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21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13" w:name="_Toc459896761"/>
      <w:r>
        <w:t>Recommandations AMF</w:t>
      </w:r>
      <w:bookmarkEnd w:id="213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877"/>
        <w:gridCol w:w="1213"/>
        <w:gridCol w:w="1955"/>
        <w:gridCol w:w="1670"/>
      </w:tblGrid>
      <w:tr w:rsidR="0010605B" w:rsidRPr="0012041F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12041F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2041F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 suite à l'adoption d'IFRIC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14" w:name="_Toc459896762"/>
      <w:r>
        <w:t>Décisions ESMA</w:t>
      </w:r>
      <w:bookmarkEnd w:id="214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946"/>
        <w:gridCol w:w="1264"/>
        <w:gridCol w:w="1675"/>
        <w:gridCol w:w="1511"/>
      </w:tblGrid>
      <w:tr w:rsidR="0010605B" w:rsidRPr="0012041F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12041F" w:rsidTr="0010605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2041F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produits et des charges relatives aux accords de concession de services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12041F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12041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4E2378" w:rsidRDefault="004E2378" w:rsidP="0010605B">
      <w:pPr>
        <w:pStyle w:val="CACCorps"/>
      </w:pPr>
    </w:p>
    <w:p w:rsidR="004E2378" w:rsidRDefault="004E2378">
      <w:pPr>
        <w:jc w:val="left"/>
      </w:pPr>
      <w:r>
        <w:br w:type="page"/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15" w:name="_Toc459896763"/>
      <w:r>
        <w:t>RAPPELS SUR L’INTERPRETATION</w:t>
      </w:r>
      <w:bookmarkEnd w:id="21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16" w:name="_Toc459896764"/>
      <w:r>
        <w:t>RESSOURCES MISES A DISPOSITION</w:t>
      </w:r>
      <w:bookmarkEnd w:id="21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Titre1"/>
        <w:numPr>
          <w:ilvl w:val="0"/>
          <w:numId w:val="31"/>
        </w:numPr>
        <w:contextualSpacing w:val="0"/>
      </w:pPr>
      <w:r>
        <w:t xml:space="preserve"> </w:t>
      </w:r>
      <w:bookmarkStart w:id="217" w:name="_Toc459896765"/>
      <w:r>
        <w:t>IFRIC 17 – Distribution d’actifs non monétaires aux actionnaires</w:t>
      </w:r>
      <w:bookmarkEnd w:id="217"/>
    </w:p>
    <w:p w:rsidR="0010605B" w:rsidRPr="00DD09B7" w:rsidRDefault="0010605B" w:rsidP="0010605B"/>
    <w:p w:rsidR="0010605B" w:rsidRDefault="00AB3731" w:rsidP="002C736C">
      <w:pPr>
        <w:pStyle w:val="CACTitre2"/>
        <w:numPr>
          <w:ilvl w:val="1"/>
          <w:numId w:val="32"/>
        </w:numPr>
      </w:pPr>
      <w:bookmarkStart w:id="218" w:name="_Toc459896766"/>
      <w:r>
        <w:t>HISTORIQUE</w:t>
      </w:r>
      <w:bookmarkEnd w:id="218"/>
    </w:p>
    <w:p w:rsidR="0010605B" w:rsidRDefault="0010605B" w:rsidP="00AB3731">
      <w:pPr>
        <w:pStyle w:val="CACCorps"/>
      </w:pPr>
    </w:p>
    <w:p w:rsidR="0010605B" w:rsidRDefault="0010605B" w:rsidP="0010605B">
      <w:pPr>
        <w:pStyle w:val="CACTitre3"/>
      </w:pPr>
      <w:bookmarkStart w:id="219" w:name="_Toc459896767"/>
      <w:r>
        <w:t>Historique au niveau de l’Union européenne</w:t>
      </w:r>
      <w:bookmarkEnd w:id="219"/>
    </w:p>
    <w:p w:rsidR="0010605B" w:rsidRDefault="0010605B" w:rsidP="00AB3731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647"/>
        <w:gridCol w:w="1267"/>
        <w:gridCol w:w="1320"/>
        <w:gridCol w:w="1242"/>
        <w:gridCol w:w="1295"/>
        <w:gridCol w:w="1206"/>
      </w:tblGrid>
      <w:tr w:rsidR="0010605B" w:rsidRPr="000B5F20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Distribution d’actifs non monétaires aux propriétaires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27/11/2008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26/11/2008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10605B" w:rsidRPr="000B5F20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10605B" w:rsidRPr="000B5F20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10605B" w:rsidRPr="000B5F20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0B5F2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AB3731">
      <w:pPr>
        <w:pStyle w:val="CACCorps"/>
      </w:pPr>
    </w:p>
    <w:p w:rsidR="0010605B" w:rsidRDefault="0010605B" w:rsidP="0010605B">
      <w:pPr>
        <w:pStyle w:val="CACTitre3"/>
      </w:pPr>
      <w:bookmarkStart w:id="220" w:name="_Toc459896768"/>
      <w:r>
        <w:t>Textes en cours d’adoption par la Communauté européenne</w:t>
      </w:r>
      <w:bookmarkEnd w:id="220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21" w:name="_Toc459896769"/>
      <w:r>
        <w:t>Textes en cours d’adoption par l’IASB</w:t>
      </w:r>
      <w:bookmarkEnd w:id="221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Titre3"/>
      </w:pPr>
      <w:bookmarkStart w:id="222" w:name="_Toc459896770"/>
      <w:r>
        <w:t>Projets IASB</w:t>
      </w:r>
      <w:bookmarkEnd w:id="222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23" w:name="_Toc459896771"/>
      <w:r>
        <w:t>NORMES ET INTERPRETATIONS LIEES</w:t>
      </w:r>
      <w:bookmarkEnd w:id="223"/>
    </w:p>
    <w:p w:rsidR="0010605B" w:rsidRDefault="0010605B" w:rsidP="0010605B">
      <w:pPr>
        <w:pStyle w:val="CACCorps"/>
      </w:pPr>
    </w:p>
    <w:p w:rsidR="0010605B" w:rsidRDefault="0010605B" w:rsidP="002C736C">
      <w:pPr>
        <w:pStyle w:val="CACCorps"/>
        <w:numPr>
          <w:ilvl w:val="0"/>
          <w:numId w:val="37"/>
        </w:numPr>
      </w:pPr>
      <w:r>
        <w:t xml:space="preserve">IFRS 10 – </w:t>
      </w:r>
      <w:r w:rsidRPr="0012041F">
        <w:rPr>
          <w:i/>
        </w:rPr>
        <w:t>Etats financiers consolidés</w:t>
      </w:r>
    </w:p>
    <w:p w:rsidR="0010605B" w:rsidRDefault="0010605B" w:rsidP="002C736C">
      <w:pPr>
        <w:pStyle w:val="CACCorps"/>
        <w:numPr>
          <w:ilvl w:val="0"/>
          <w:numId w:val="37"/>
        </w:numPr>
      </w:pPr>
      <w:r>
        <w:t xml:space="preserve">IAS 1 – </w:t>
      </w:r>
      <w:r w:rsidRPr="0012041F">
        <w:rPr>
          <w:i/>
        </w:rPr>
        <w:t>Présentation des états financiers</w:t>
      </w:r>
    </w:p>
    <w:p w:rsidR="0010605B" w:rsidRDefault="0010605B" w:rsidP="002C736C">
      <w:pPr>
        <w:pStyle w:val="CACCorps"/>
        <w:numPr>
          <w:ilvl w:val="0"/>
          <w:numId w:val="37"/>
        </w:numPr>
      </w:pPr>
      <w:r>
        <w:t xml:space="preserve">IAS 27 – </w:t>
      </w:r>
      <w:r w:rsidRPr="0012041F">
        <w:rPr>
          <w:i/>
        </w:rPr>
        <w:t>Etats financiers individuels</w:t>
      </w:r>
    </w:p>
    <w:p w:rsidR="0010605B" w:rsidRDefault="0010605B" w:rsidP="002C736C">
      <w:pPr>
        <w:pStyle w:val="CACCorps"/>
        <w:numPr>
          <w:ilvl w:val="0"/>
          <w:numId w:val="37"/>
        </w:numPr>
      </w:pPr>
      <w:r>
        <w:t xml:space="preserve">IAS 37 – </w:t>
      </w:r>
      <w:r w:rsidRPr="0012041F">
        <w:rPr>
          <w:i/>
        </w:rPr>
        <w:t>Provisions, passifs éventuels et actifs éventuels</w:t>
      </w:r>
    </w:p>
    <w:p w:rsidR="0010605B" w:rsidRPr="00AB3731" w:rsidRDefault="0010605B" w:rsidP="00AB3731">
      <w:pPr>
        <w:pStyle w:val="CACCorps"/>
      </w:pPr>
    </w:p>
    <w:p w:rsidR="0010605B" w:rsidRDefault="00AB3731" w:rsidP="0010605B">
      <w:pPr>
        <w:pStyle w:val="CACTitre2"/>
      </w:pPr>
      <w:bookmarkStart w:id="224" w:name="_Toc459896772"/>
      <w:r>
        <w:t>REJETS</w:t>
      </w:r>
      <w:r w:rsidR="0010605B">
        <w:t xml:space="preserve"> IFRIC </w:t>
      </w:r>
      <w:r>
        <w:t>LIES</w:t>
      </w:r>
      <w:bookmarkEnd w:id="224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</w:t>
      </w: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25" w:name="_Toc459896773"/>
      <w:r>
        <w:t>RECOMMANDATIONS</w:t>
      </w:r>
      <w:r w:rsidR="0010605B">
        <w:t xml:space="preserve"> AMF </w:t>
      </w:r>
      <w:r>
        <w:t>ET DECISIONS</w:t>
      </w:r>
      <w:r w:rsidR="0010605B">
        <w:t xml:space="preserve"> ESMA</w:t>
      </w:r>
      <w:bookmarkEnd w:id="225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Titre3"/>
      </w:pPr>
      <w:bookmarkStart w:id="226" w:name="_Toc459896774"/>
      <w:r>
        <w:t>Recommandations AMF</w:t>
      </w:r>
      <w:bookmarkEnd w:id="226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  <w:r>
        <w:t>Aucune</w:t>
      </w:r>
    </w:p>
    <w:p w:rsidR="00AB3731" w:rsidRDefault="00AB3731">
      <w:pPr>
        <w:jc w:val="left"/>
      </w:pPr>
    </w:p>
    <w:p w:rsidR="0010605B" w:rsidRDefault="0010605B" w:rsidP="0010605B">
      <w:pPr>
        <w:pStyle w:val="CACTitre3"/>
      </w:pPr>
      <w:bookmarkStart w:id="227" w:name="_Toc459896775"/>
      <w:r>
        <w:t>Décisions ESMA</w:t>
      </w:r>
      <w:bookmarkEnd w:id="227"/>
    </w:p>
    <w:p w:rsidR="0010605B" w:rsidRDefault="0010605B" w:rsidP="0010605B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339"/>
        <w:gridCol w:w="1311"/>
        <w:gridCol w:w="2001"/>
        <w:gridCol w:w="1744"/>
      </w:tblGrid>
      <w:tr w:rsidR="0010605B" w:rsidRPr="00847098" w:rsidTr="001060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10605B" w:rsidRPr="00847098" w:rsidTr="0010605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847098" w:rsidRDefault="0010605B" w:rsidP="0010605B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Distribution d'actifs non monétaires aux actionnaires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EECS/0211-05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5B" w:rsidRPr="00847098" w:rsidRDefault="0010605B" w:rsidP="0010605B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847098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28" w:name="_Toc459896776"/>
      <w:r>
        <w:t>RAPPELS SUR L’INTERPRETATION</w:t>
      </w:r>
      <w:bookmarkEnd w:id="228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10605B" w:rsidRDefault="00AB3731" w:rsidP="0010605B">
      <w:pPr>
        <w:pStyle w:val="CACTitre2"/>
      </w:pPr>
      <w:bookmarkStart w:id="229" w:name="_Toc459896777"/>
      <w:r>
        <w:t>RESSOURCES MISES A DISPOSITION</w:t>
      </w:r>
      <w:bookmarkEnd w:id="229"/>
    </w:p>
    <w:p w:rsidR="0010605B" w:rsidRDefault="0010605B" w:rsidP="0010605B">
      <w:pPr>
        <w:pStyle w:val="CACCorps"/>
      </w:pPr>
    </w:p>
    <w:p w:rsidR="0010605B" w:rsidRDefault="0010605B" w:rsidP="0010605B">
      <w:pPr>
        <w:pStyle w:val="CACCorps"/>
      </w:pPr>
    </w:p>
    <w:p w:rsidR="00CD4EF4" w:rsidRDefault="00CD4EF4" w:rsidP="00CD4EF4">
      <w:pPr>
        <w:pStyle w:val="CACCorps"/>
      </w:pPr>
    </w:p>
    <w:p w:rsidR="00CD4EF4" w:rsidRDefault="00CD4EF4" w:rsidP="00CD4EF4">
      <w:pPr>
        <w:pStyle w:val="CACCorps"/>
      </w:pPr>
    </w:p>
    <w:p w:rsidR="00165177" w:rsidRPr="004855CD" w:rsidRDefault="00165177" w:rsidP="00CD4EF4">
      <w:pPr>
        <w:pStyle w:val="CACCorps"/>
      </w:pPr>
    </w:p>
    <w:sectPr w:rsidR="00165177" w:rsidRPr="004855CD" w:rsidSect="0012765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3A8" w:rsidRDefault="001D03A8" w:rsidP="00706B95">
      <w:r>
        <w:separator/>
      </w:r>
    </w:p>
  </w:endnote>
  <w:endnote w:type="continuationSeparator" w:id="0">
    <w:p w:rsidR="001D03A8" w:rsidRDefault="001D03A8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80" w:rsidRDefault="0010078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166" w:rsidRDefault="006E6166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9598F9" wp14:editId="371A769A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6166" w:rsidRDefault="006E6166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Mai 2017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10605B">
                            <w:rPr>
                              <w:b/>
                              <w:color w:val="241820" w:themeColor="accent4" w:themeShade="80"/>
                            </w:rPr>
                            <w:t>2330 – Actifs</w:t>
                          </w:r>
                        </w:p>
                        <w:p w:rsidR="006E6166" w:rsidRPr="00DA2B39" w:rsidRDefault="006E6166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bookmarkStart w:id="230" w:name="_GoBack"/>
                          <w:bookmarkEnd w:id="230"/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598F9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30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6E6166" w:rsidRDefault="006E6166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>
                      <w:rPr>
                        <w:b/>
                        <w:color w:val="241820" w:themeColor="accent4" w:themeShade="80"/>
                      </w:rPr>
                      <w:t>Mai 2017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10605B">
                      <w:rPr>
                        <w:b/>
                        <w:color w:val="241820" w:themeColor="accent4" w:themeShade="80"/>
                      </w:rPr>
                      <w:t>2330 – Actifs</w:t>
                    </w:r>
                  </w:p>
                  <w:p w:rsidR="006E6166" w:rsidRPr="00DA2B39" w:rsidRDefault="006E6166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bookmarkStart w:id="231" w:name="_GoBack"/>
                    <w:bookmarkEnd w:id="231"/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D44CC3D" wp14:editId="235BEEEB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54D3C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80" w:rsidRDefault="001007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3A8" w:rsidRDefault="001D03A8" w:rsidP="00706B95">
      <w:r>
        <w:separator/>
      </w:r>
    </w:p>
  </w:footnote>
  <w:footnote w:type="continuationSeparator" w:id="0">
    <w:p w:rsidR="001D03A8" w:rsidRDefault="001D03A8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80" w:rsidRDefault="0010078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166" w:rsidRDefault="006E616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B851B5" wp14:editId="61237700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6166" w:rsidRPr="0058523B" w:rsidRDefault="006E6166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100780" w:rsidRPr="00100780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100780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851B5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9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6E6166" w:rsidRPr="0058523B" w:rsidRDefault="006E6166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100780" w:rsidRPr="00100780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100780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5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992A92" wp14:editId="1702E847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1EDC13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80" w:rsidRDefault="0010078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2578"/>
    <w:multiLevelType w:val="hybridMultilevel"/>
    <w:tmpl w:val="418C0970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F7405C6"/>
    <w:multiLevelType w:val="hybridMultilevel"/>
    <w:tmpl w:val="F5E86D4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0513129"/>
    <w:multiLevelType w:val="hybridMultilevel"/>
    <w:tmpl w:val="62B2ABC2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145A6D5D"/>
    <w:multiLevelType w:val="hybridMultilevel"/>
    <w:tmpl w:val="B89A752A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31233591"/>
    <w:multiLevelType w:val="hybridMultilevel"/>
    <w:tmpl w:val="251CE712"/>
    <w:lvl w:ilvl="0" w:tplc="2B5CEDAC">
      <w:start w:val="10"/>
      <w:numFmt w:val="decimal"/>
      <w:lvlText w:val="Section %10."/>
      <w:lvlJc w:val="left"/>
      <w:pPr>
        <w:ind w:left="7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6" w:hanging="360"/>
      </w:pPr>
    </w:lvl>
    <w:lvl w:ilvl="2" w:tplc="040C001B" w:tentative="1">
      <w:start w:val="1"/>
      <w:numFmt w:val="lowerRoman"/>
      <w:lvlText w:val="%3."/>
      <w:lvlJc w:val="right"/>
      <w:pPr>
        <w:ind w:left="2206" w:hanging="180"/>
      </w:pPr>
    </w:lvl>
    <w:lvl w:ilvl="3" w:tplc="040C000F" w:tentative="1">
      <w:start w:val="1"/>
      <w:numFmt w:val="decimal"/>
      <w:lvlText w:val="%4."/>
      <w:lvlJc w:val="left"/>
      <w:pPr>
        <w:ind w:left="2926" w:hanging="360"/>
      </w:pPr>
    </w:lvl>
    <w:lvl w:ilvl="4" w:tplc="040C0019" w:tentative="1">
      <w:start w:val="1"/>
      <w:numFmt w:val="lowerLetter"/>
      <w:lvlText w:val="%5."/>
      <w:lvlJc w:val="left"/>
      <w:pPr>
        <w:ind w:left="3646" w:hanging="360"/>
      </w:pPr>
    </w:lvl>
    <w:lvl w:ilvl="5" w:tplc="040C001B" w:tentative="1">
      <w:start w:val="1"/>
      <w:numFmt w:val="lowerRoman"/>
      <w:lvlText w:val="%6."/>
      <w:lvlJc w:val="right"/>
      <w:pPr>
        <w:ind w:left="4366" w:hanging="180"/>
      </w:pPr>
    </w:lvl>
    <w:lvl w:ilvl="6" w:tplc="040C000F" w:tentative="1">
      <w:start w:val="1"/>
      <w:numFmt w:val="decimal"/>
      <w:lvlText w:val="%7."/>
      <w:lvlJc w:val="left"/>
      <w:pPr>
        <w:ind w:left="5086" w:hanging="360"/>
      </w:pPr>
    </w:lvl>
    <w:lvl w:ilvl="7" w:tplc="040C0019" w:tentative="1">
      <w:start w:val="1"/>
      <w:numFmt w:val="lowerLetter"/>
      <w:lvlText w:val="%8."/>
      <w:lvlJc w:val="left"/>
      <w:pPr>
        <w:ind w:left="5806" w:hanging="360"/>
      </w:pPr>
    </w:lvl>
    <w:lvl w:ilvl="8" w:tplc="040C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A1C62D5"/>
    <w:multiLevelType w:val="hybridMultilevel"/>
    <w:tmpl w:val="C3D69700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4D376E0B"/>
    <w:multiLevelType w:val="hybridMultilevel"/>
    <w:tmpl w:val="E204712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50F2EAA"/>
    <w:multiLevelType w:val="hybridMultilevel"/>
    <w:tmpl w:val="0332F890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69B50320"/>
    <w:multiLevelType w:val="hybridMultilevel"/>
    <w:tmpl w:val="0B2AA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5655F"/>
    <w:multiLevelType w:val="hybridMultilevel"/>
    <w:tmpl w:val="5B1EFB62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727703D5"/>
    <w:multiLevelType w:val="hybridMultilevel"/>
    <w:tmpl w:val="1852818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7B3A2D9D"/>
    <w:multiLevelType w:val="hybridMultilevel"/>
    <w:tmpl w:val="E83AB0AC"/>
    <w:lvl w:ilvl="0" w:tplc="C3BEFE48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7D1A20AD"/>
    <w:multiLevelType w:val="multilevel"/>
    <w:tmpl w:val="8C2C01B6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4"/>
  </w:num>
  <w:num w:numId="7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0"/>
    </w:lvlOverride>
  </w:num>
  <w:num w:numId="9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30"/>
    </w:lvlOverride>
  </w:num>
  <w:num w:numId="11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40"/>
    </w:lvlOverride>
  </w:num>
  <w:num w:numId="13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50"/>
    </w:lvlOverride>
  </w:num>
  <w:num w:numId="15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60"/>
    </w:lvlOverride>
  </w:num>
  <w:num w:numId="21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70"/>
    </w:lvlOverride>
  </w:num>
  <w:num w:numId="23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80"/>
    </w:lvlOverride>
  </w:num>
  <w:num w:numId="25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90"/>
    </w:lvlOverride>
  </w:num>
  <w:num w:numId="27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00"/>
    </w:lvlOverride>
  </w:num>
  <w:num w:numId="30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10"/>
    </w:lvlOverride>
  </w:num>
  <w:num w:numId="32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0"/>
  </w:num>
  <w:num w:numId="35">
    <w:abstractNumId w:val="3"/>
  </w:num>
  <w:num w:numId="36">
    <w:abstractNumId w:val="9"/>
  </w:num>
  <w:num w:numId="37">
    <w:abstractNumId w:val="11"/>
  </w:num>
  <w:num w:numId="38">
    <w:abstractNumId w:val="12"/>
  </w:num>
  <w:num w:numId="39">
    <w:abstractNumId w:val="7"/>
  </w:num>
  <w:num w:numId="40">
    <w:abstractNumId w:val="1"/>
  </w:num>
  <w:num w:numId="41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A208C"/>
    <w:rsid w:val="000D236B"/>
    <w:rsid w:val="000D6C13"/>
    <w:rsid w:val="00100780"/>
    <w:rsid w:val="0010605B"/>
    <w:rsid w:val="00116522"/>
    <w:rsid w:val="001231AF"/>
    <w:rsid w:val="0012765C"/>
    <w:rsid w:val="00165177"/>
    <w:rsid w:val="001A2723"/>
    <w:rsid w:val="001B0BCE"/>
    <w:rsid w:val="001D03A8"/>
    <w:rsid w:val="00213541"/>
    <w:rsid w:val="00223103"/>
    <w:rsid w:val="00223A30"/>
    <w:rsid w:val="00232D74"/>
    <w:rsid w:val="00235B02"/>
    <w:rsid w:val="00270593"/>
    <w:rsid w:val="0027523B"/>
    <w:rsid w:val="00283853"/>
    <w:rsid w:val="0028777F"/>
    <w:rsid w:val="002919AE"/>
    <w:rsid w:val="002A06C9"/>
    <w:rsid w:val="002C3791"/>
    <w:rsid w:val="002C594E"/>
    <w:rsid w:val="002C736C"/>
    <w:rsid w:val="002D4C6D"/>
    <w:rsid w:val="002F4958"/>
    <w:rsid w:val="00314186"/>
    <w:rsid w:val="00370257"/>
    <w:rsid w:val="00374FE8"/>
    <w:rsid w:val="00396A8D"/>
    <w:rsid w:val="003B7949"/>
    <w:rsid w:val="003C0504"/>
    <w:rsid w:val="003E5E9F"/>
    <w:rsid w:val="00400B7A"/>
    <w:rsid w:val="00405446"/>
    <w:rsid w:val="004210AD"/>
    <w:rsid w:val="00453544"/>
    <w:rsid w:val="00464668"/>
    <w:rsid w:val="00470965"/>
    <w:rsid w:val="0048204F"/>
    <w:rsid w:val="0049164E"/>
    <w:rsid w:val="004E2378"/>
    <w:rsid w:val="00507E43"/>
    <w:rsid w:val="00510FB1"/>
    <w:rsid w:val="005309CE"/>
    <w:rsid w:val="00532486"/>
    <w:rsid w:val="0058523B"/>
    <w:rsid w:val="00590552"/>
    <w:rsid w:val="005C4DDC"/>
    <w:rsid w:val="005C5414"/>
    <w:rsid w:val="005D1AC7"/>
    <w:rsid w:val="00656DF2"/>
    <w:rsid w:val="00670F63"/>
    <w:rsid w:val="00684825"/>
    <w:rsid w:val="006A665B"/>
    <w:rsid w:val="006B0623"/>
    <w:rsid w:val="006E6166"/>
    <w:rsid w:val="007042CB"/>
    <w:rsid w:val="00706B95"/>
    <w:rsid w:val="00720119"/>
    <w:rsid w:val="007430C0"/>
    <w:rsid w:val="00747FC1"/>
    <w:rsid w:val="0079078B"/>
    <w:rsid w:val="007B72A5"/>
    <w:rsid w:val="007E0487"/>
    <w:rsid w:val="007F3921"/>
    <w:rsid w:val="00822370"/>
    <w:rsid w:val="00827DD2"/>
    <w:rsid w:val="0086530A"/>
    <w:rsid w:val="008B1B1A"/>
    <w:rsid w:val="008C3C87"/>
    <w:rsid w:val="00917252"/>
    <w:rsid w:val="00952337"/>
    <w:rsid w:val="00985251"/>
    <w:rsid w:val="009C2044"/>
    <w:rsid w:val="009F2684"/>
    <w:rsid w:val="00A00BD3"/>
    <w:rsid w:val="00A12123"/>
    <w:rsid w:val="00A157BB"/>
    <w:rsid w:val="00A521C4"/>
    <w:rsid w:val="00A909D9"/>
    <w:rsid w:val="00A94979"/>
    <w:rsid w:val="00A97E14"/>
    <w:rsid w:val="00AA5D89"/>
    <w:rsid w:val="00AB3731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802FA"/>
    <w:rsid w:val="00CA35AB"/>
    <w:rsid w:val="00CA45DC"/>
    <w:rsid w:val="00CD4EF4"/>
    <w:rsid w:val="00CF0659"/>
    <w:rsid w:val="00D4068A"/>
    <w:rsid w:val="00D47C40"/>
    <w:rsid w:val="00D66390"/>
    <w:rsid w:val="00DA2B39"/>
    <w:rsid w:val="00DB4628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360EB"/>
    <w:rsid w:val="00F5225A"/>
    <w:rsid w:val="00F561FE"/>
    <w:rsid w:val="00F63429"/>
    <w:rsid w:val="00F6595F"/>
    <w:rsid w:val="00F726BB"/>
    <w:rsid w:val="00F91BC0"/>
    <w:rsid w:val="00F93ACF"/>
    <w:rsid w:val="00FA0079"/>
    <w:rsid w:val="00FA0A35"/>
    <w:rsid w:val="00FD30CD"/>
    <w:rsid w:val="00FD3E5B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B3153ED-A341-4448-9A2B-CF85AEEC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827DD2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827DD2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  <w:style w:type="table" w:styleId="Grilledutableau">
    <w:name w:val="Table Grid"/>
    <w:basedOn w:val="TableauNormal"/>
    <w:uiPriority w:val="59"/>
    <w:rsid w:val="006E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../../Outils%20et%20mod&#232;les/AUTRES%20MISSIONS/Q/QF/QFB/QFB20.X001.doc" TargetMode="External"/><Relationship Id="rId18" Type="http://schemas.openxmlformats.org/officeDocument/2006/relationships/hyperlink" Target="../../Outils%20et%20mod&#232;les/AUTRES%20MISSIONS/Q/QF/QFB/QFB40.X001.doc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Google%20Drive\M%20-%20Modifs\AUDIT\BoiteOutils\Outils%20et%20mod&#232;les\AUTRES%20MISSIONS\Q\QF\QFB\QFB15.X001.doc" TargetMode="External"/><Relationship Id="rId17" Type="http://schemas.openxmlformats.org/officeDocument/2006/relationships/hyperlink" Target="../../Documentation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../../Documentatio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Outils%20et%20mod&#232;les/AUTRES%20MISSIONS/Q/QF/QFB/QFB10.X001.doc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../../Outils%20et%20mod&#232;les/AUTRES%20MISSIONS/Q/QF/QFB/QFB25.X002.xlsx" TargetMode="External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../../Outils%20et%20mod&#232;les/AUTRES%20MISSIONS/Q/QF/QFB/QFB45.X001.xls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../../Outils%20et%20mod&#232;les/AUTRES%20MISSIONS/Q/QF/QFB/QFB25.X001.xls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Actifs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E8F559-FD17-4570-B595-08DAE4DF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9692</Words>
  <Characters>53312</Characters>
  <Application>Microsoft Office Word</Application>
  <DocSecurity>0</DocSecurity>
  <Lines>444</Lines>
  <Paragraphs>125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2330</vt:lpstr>
    </vt:vector>
  </TitlesOfParts>
  <Company>Microsoft</Company>
  <LinksUpToDate>false</LinksUpToDate>
  <CharactersWithSpaces>62879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2330</dc:title>
  <dc:creator>ATH</dc:creator>
  <cp:lastModifiedBy>SCHNELL Aurelie</cp:lastModifiedBy>
  <cp:revision>10</cp:revision>
  <cp:lastPrinted>2016-05-25T09:36:00Z</cp:lastPrinted>
  <dcterms:created xsi:type="dcterms:W3CDTF">2016-05-30T08:00:00Z</dcterms:created>
  <dcterms:modified xsi:type="dcterms:W3CDTF">2020-11-19T14:43:00Z</dcterms:modified>
</cp:coreProperties>
</file>